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DE62D" w14:textId="7699F067" w:rsidR="00977B99" w:rsidRDefault="00D358B6">
      <w:pPr>
        <w:pStyle w:val="BodyText"/>
        <w:spacing w:before="0"/>
        <w:ind w:left="819" w:firstLine="0"/>
        <w:rPr>
          <w:rFonts w:ascii="Times New Roman"/>
          <w:sz w:val="20"/>
        </w:rPr>
      </w:pPr>
      <w:r>
        <w:rPr>
          <w:noProof/>
        </w:rPr>
        <w:drawing>
          <wp:anchor distT="0" distB="0" distL="0" distR="0" simplePos="0" relativeHeight="251657216" behindDoc="1" locked="0" layoutInCell="1" allowOverlap="1" wp14:anchorId="5382D41A" wp14:editId="5D0FC9F4">
            <wp:simplePos x="0" y="0"/>
            <wp:positionH relativeFrom="page">
              <wp:posOffset>0</wp:posOffset>
            </wp:positionH>
            <wp:positionV relativeFrom="page">
              <wp:posOffset>0</wp:posOffset>
            </wp:positionV>
            <wp:extent cx="7772400" cy="10058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772400" cy="10058400"/>
                    </a:xfrm>
                    <a:prstGeom prst="rect">
                      <a:avLst/>
                    </a:prstGeom>
                  </pic:spPr>
                </pic:pic>
              </a:graphicData>
            </a:graphic>
          </wp:anchor>
        </w:drawing>
      </w:r>
      <w:r w:rsidR="00010E6A">
        <w:rPr>
          <w:noProof/>
        </w:rPr>
        <mc:AlternateContent>
          <mc:Choice Requires="wps">
            <w:drawing>
              <wp:anchor distT="0" distB="0" distL="114300" distR="114300" simplePos="0" relativeHeight="251658240" behindDoc="1" locked="0" layoutInCell="1" allowOverlap="1" wp14:anchorId="41C36DAE" wp14:editId="147C10B7">
                <wp:simplePos x="0" y="0"/>
                <wp:positionH relativeFrom="page">
                  <wp:posOffset>0</wp:posOffset>
                </wp:positionH>
                <wp:positionV relativeFrom="page">
                  <wp:posOffset>0</wp:posOffset>
                </wp:positionV>
                <wp:extent cx="7772400" cy="10058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2F2F2">
                            <a:alpha val="5607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29968" id="Rectangle 2" o:spid="_x0000_s1026" style="position:absolute;margin-left:0;margin-top:0;width:612pt;height:1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" fillcolor="#f2f2f2" stroked="f">
                <v:fill opacity="36751f"/>
                <w10:wrap anchorx="page" anchory="page"/>
              </v:rect>
            </w:pict>
          </mc:Fallback>
        </mc:AlternateContent>
      </w:r>
      <w:r>
        <w:rPr>
          <w:rFonts w:ascii="Times New Roman"/>
          <w:noProof/>
          <w:sz w:val="20"/>
        </w:rPr>
        <w:drawing>
          <wp:inline distT="0" distB="0" distL="0" distR="0" wp14:anchorId="01539677" wp14:editId="7EBFF612">
            <wp:extent cx="6142991" cy="110175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142991" cy="1101756"/>
                    </a:xfrm>
                    <a:prstGeom prst="rect">
                      <a:avLst/>
                    </a:prstGeom>
                  </pic:spPr>
                </pic:pic>
              </a:graphicData>
            </a:graphic>
          </wp:inline>
        </w:drawing>
      </w:r>
    </w:p>
    <w:p w14:paraId="7F840092" w14:textId="77777777" w:rsidR="00977B99" w:rsidRDefault="00977B99">
      <w:pPr>
        <w:pStyle w:val="BodyText"/>
        <w:spacing w:before="1"/>
        <w:ind w:left="0" w:firstLine="0"/>
        <w:rPr>
          <w:rFonts w:ascii="Times New Roman"/>
          <w:sz w:val="14"/>
        </w:rPr>
      </w:pPr>
    </w:p>
    <w:p w14:paraId="710B0D0B" w14:textId="77777777" w:rsidR="000023FF" w:rsidRPr="00DB4AF0" w:rsidRDefault="000023FF" w:rsidP="000023FF">
      <w:pPr>
        <w:pStyle w:val="Heading2"/>
        <w:tabs>
          <w:tab w:val="left" w:pos="462"/>
        </w:tabs>
        <w:spacing w:before="3"/>
        <w:jc w:val="center"/>
        <w:rPr>
          <w:bCs w:val="0"/>
          <w:color w:val="1F4E79"/>
          <w:w w:val="110"/>
          <w:sz w:val="32"/>
          <w:szCs w:val="12"/>
        </w:rPr>
      </w:pPr>
      <w:r w:rsidRPr="00DB4AF0">
        <w:rPr>
          <w:bCs w:val="0"/>
          <w:color w:val="1F4E79"/>
          <w:w w:val="110"/>
          <w:sz w:val="32"/>
          <w:szCs w:val="12"/>
        </w:rPr>
        <w:t>Aviso de denegación de beneficios de acción (NOABD)</w:t>
      </w:r>
    </w:p>
    <w:p w14:paraId="1396A0B5" w14:textId="50005349" w:rsidR="000023FF" w:rsidRPr="00DB4AF0" w:rsidRDefault="000023FF" w:rsidP="000023FF">
      <w:pPr>
        <w:pStyle w:val="Heading2"/>
        <w:tabs>
          <w:tab w:val="left" w:pos="462"/>
        </w:tabs>
        <w:spacing w:before="3"/>
        <w:ind w:firstLine="0"/>
        <w:jc w:val="center"/>
        <w:rPr>
          <w:sz w:val="14"/>
          <w:szCs w:val="14"/>
        </w:rPr>
      </w:pPr>
      <w:r w:rsidRPr="00DB4AF0">
        <w:rPr>
          <w:bCs w:val="0"/>
          <w:color w:val="1F4E79"/>
          <w:w w:val="110"/>
          <w:sz w:val="32"/>
          <w:szCs w:val="12"/>
        </w:rPr>
        <w:t>Preguntas frecuentes</w:t>
      </w:r>
    </w:p>
    <w:p w14:paraId="6DA0DEDF" w14:textId="7FFCF962" w:rsidR="000023FF" w:rsidRPr="000023FF" w:rsidRDefault="000023FF" w:rsidP="000023FF">
      <w:pPr>
        <w:pStyle w:val="Heading2"/>
        <w:numPr>
          <w:ilvl w:val="0"/>
          <w:numId w:val="1"/>
        </w:numPr>
        <w:tabs>
          <w:tab w:val="left" w:pos="462"/>
        </w:tabs>
        <w:spacing w:before="3"/>
        <w:ind w:hanging="361"/>
      </w:pPr>
      <w:r w:rsidRPr="000023FF">
        <w:rPr>
          <w:color w:val="1F4E79"/>
          <w:w w:val="110"/>
        </w:rPr>
        <w:t>¿Qué se niega?</w:t>
      </w:r>
    </w:p>
    <w:p w14:paraId="11A468BD" w14:textId="72D108B6" w:rsidR="000023FF" w:rsidRDefault="000023FF" w:rsidP="000023FF">
      <w:pPr>
        <w:pStyle w:val="Heading2"/>
        <w:numPr>
          <w:ilvl w:val="1"/>
          <w:numId w:val="1"/>
        </w:numPr>
        <w:tabs>
          <w:tab w:val="left" w:pos="462"/>
        </w:tabs>
        <w:spacing w:before="11"/>
      </w:pPr>
      <w:r w:rsidRPr="000023FF">
        <w:rPr>
          <w:b w:val="0"/>
          <w:bCs w:val="0"/>
          <w:color w:val="1F4E79"/>
          <w:w w:val="105"/>
          <w:szCs w:val="22"/>
        </w:rPr>
        <w:t>Esta carta no le dice que está perdiendo su cobertura de seguro. El Plan de Salud de Oregon (OHP) nos indica qué servicios o artículos están cubiertos en su plan de salud. OHP también nos exige que le informemos cuando su proveedor nos pide que paguemos algo y se le ha denegado. Cuando recibe una carta de la UHA que dice «Aviso de denegación de beneficios», le informamos que no pagaremos por el servicio. Le negamos algunos servicios si no reúne los requisitos para recibirlos. Si tiene otro seguro primario que lo pague. Si la solicitud no es un servicio cubierto. Si no es médicamente apropiado o necesario. O si hay otro proveedor que esté en nuestra red al que pueda acudir en su lugar.</w:t>
      </w:r>
    </w:p>
    <w:p w14:paraId="6031FF0F" w14:textId="3CC8AF38" w:rsidR="000023FF" w:rsidRDefault="000023FF" w:rsidP="000023FF">
      <w:pPr>
        <w:pStyle w:val="Heading2"/>
        <w:numPr>
          <w:ilvl w:val="0"/>
          <w:numId w:val="3"/>
        </w:numPr>
        <w:tabs>
          <w:tab w:val="left" w:pos="462"/>
        </w:tabs>
        <w:spacing w:before="11"/>
      </w:pPr>
      <w:r w:rsidRPr="000023FF">
        <w:rPr>
          <w:color w:val="1F4E79"/>
          <w:w w:val="110"/>
        </w:rPr>
        <w:t>¿Me pueden facturar por esto?</w:t>
      </w:r>
    </w:p>
    <w:p w14:paraId="0CF1C7AE" w14:textId="477C80BE" w:rsidR="000023FF" w:rsidRPr="000023FF" w:rsidRDefault="000023FF">
      <w:pPr>
        <w:pStyle w:val="ListParagraph"/>
        <w:numPr>
          <w:ilvl w:val="1"/>
          <w:numId w:val="1"/>
        </w:numPr>
        <w:tabs>
          <w:tab w:val="left" w:pos="1181"/>
          <w:tab w:val="left" w:pos="1182"/>
        </w:tabs>
        <w:spacing w:before="5" w:line="244" w:lineRule="auto"/>
        <w:ind w:right="288"/>
        <w:rPr>
          <w:color w:val="1F497D" w:themeColor="text2"/>
          <w:sz w:val="24"/>
        </w:rPr>
      </w:pPr>
      <w:r w:rsidRPr="000023FF">
        <w:rPr>
          <w:color w:val="1F497D" w:themeColor="text2"/>
          <w:sz w:val="24"/>
        </w:rPr>
        <w:t>No. No se le puede facturar a un miembro por servicios o tratamientos no cubiertos que hayan sido denegados. Sin embargo, si usted, a sabiendas y voluntariamente, firmó una exención del Acuerdo de pago (formulario OHP 3165 o 3166), es posible que tenga que pagar. Esto es solo si lo firmaste antes de recibir el servicio. Además, no se le puede facturar por servicios que se hayan denegado debido a un error del proveedor.</w:t>
      </w:r>
    </w:p>
    <w:p w14:paraId="2ED307F2" w14:textId="3838BA94" w:rsidR="00977B99" w:rsidRPr="000023FF" w:rsidRDefault="000023FF" w:rsidP="000023FF">
      <w:pPr>
        <w:pStyle w:val="Heading2"/>
        <w:numPr>
          <w:ilvl w:val="0"/>
          <w:numId w:val="1"/>
        </w:numPr>
        <w:tabs>
          <w:tab w:val="left" w:pos="462"/>
        </w:tabs>
        <w:ind w:hanging="361"/>
        <w:rPr>
          <w:color w:val="1F497D" w:themeColor="text2"/>
        </w:rPr>
      </w:pPr>
      <w:r w:rsidRPr="000023FF">
        <w:rPr>
          <w:color w:val="1F497D" w:themeColor="text2"/>
        </w:rPr>
        <w:t>¿Significa esto que mi cobertura de OHP va a terminar?</w:t>
      </w:r>
    </w:p>
    <w:p w14:paraId="2BA4B99C" w14:textId="42B77CCA" w:rsidR="000023FF" w:rsidRPr="000023FF" w:rsidRDefault="000023FF">
      <w:pPr>
        <w:pStyle w:val="ListParagraph"/>
        <w:numPr>
          <w:ilvl w:val="1"/>
          <w:numId w:val="1"/>
        </w:numPr>
        <w:tabs>
          <w:tab w:val="left" w:pos="1181"/>
          <w:tab w:val="left" w:pos="1182"/>
        </w:tabs>
        <w:spacing w:line="244" w:lineRule="auto"/>
        <w:ind w:right="458"/>
        <w:rPr>
          <w:color w:val="1F497D" w:themeColor="text2"/>
          <w:sz w:val="24"/>
        </w:rPr>
      </w:pPr>
      <w:r w:rsidRPr="000023FF">
        <w:rPr>
          <w:color w:val="1F497D" w:themeColor="text2"/>
          <w:sz w:val="24"/>
        </w:rPr>
        <w:t>No. La UHA no enviará una carta si su cobertura ha finalizado. Esta carta vendría directamente de la OHP, no de la UHA.</w:t>
      </w:r>
    </w:p>
    <w:p w14:paraId="6369BEA6" w14:textId="4B7140D2" w:rsidR="000023FF" w:rsidRPr="000023FF" w:rsidRDefault="000023FF">
      <w:pPr>
        <w:pStyle w:val="Heading2"/>
        <w:numPr>
          <w:ilvl w:val="0"/>
          <w:numId w:val="1"/>
        </w:numPr>
        <w:tabs>
          <w:tab w:val="left" w:pos="462"/>
        </w:tabs>
        <w:ind w:hanging="361"/>
        <w:rPr>
          <w:color w:val="1F497D" w:themeColor="text2"/>
        </w:rPr>
      </w:pPr>
      <w:r w:rsidRPr="000023FF">
        <w:rPr>
          <w:color w:val="1F497D" w:themeColor="text2"/>
        </w:rPr>
        <w:t>¿Tengo que ponerme en contacto con mi proveedor al respecto?</w:t>
      </w:r>
    </w:p>
    <w:p w14:paraId="29264F45" w14:textId="5D10E491" w:rsidR="000023FF" w:rsidRPr="000023FF" w:rsidRDefault="000023FF">
      <w:pPr>
        <w:pStyle w:val="ListParagraph"/>
        <w:numPr>
          <w:ilvl w:val="1"/>
          <w:numId w:val="1"/>
        </w:numPr>
        <w:tabs>
          <w:tab w:val="left" w:pos="1181"/>
          <w:tab w:val="left" w:pos="1182"/>
        </w:tabs>
        <w:spacing w:line="244" w:lineRule="auto"/>
        <w:ind w:right="398"/>
        <w:rPr>
          <w:color w:val="1F497D" w:themeColor="text2"/>
          <w:sz w:val="24"/>
        </w:rPr>
      </w:pPr>
      <w:r w:rsidRPr="000023FF">
        <w:rPr>
          <w:color w:val="1F497D" w:themeColor="text2"/>
          <w:sz w:val="24"/>
        </w:rPr>
        <w:t>Sí. Comuníquese con su proveedor para asegurarse de que tiene la información de seguro correcta para procesar su factura y asegúrese de que no recibirá una factura de su parte.</w:t>
      </w:r>
    </w:p>
    <w:p w14:paraId="3F89D60C" w14:textId="61D70FB6" w:rsidR="000023FF" w:rsidRPr="000023FF" w:rsidRDefault="000023FF">
      <w:pPr>
        <w:pStyle w:val="Heading2"/>
        <w:numPr>
          <w:ilvl w:val="0"/>
          <w:numId w:val="1"/>
        </w:numPr>
        <w:tabs>
          <w:tab w:val="left" w:pos="462"/>
        </w:tabs>
        <w:ind w:hanging="361"/>
        <w:rPr>
          <w:color w:val="1F497D" w:themeColor="text2"/>
        </w:rPr>
      </w:pPr>
      <w:r w:rsidRPr="000023FF">
        <w:rPr>
          <w:color w:val="1F497D" w:themeColor="text2"/>
        </w:rPr>
        <w:t>¿Qué hago si recibo una factura o me dicen que soy responsable de ello?</w:t>
      </w:r>
    </w:p>
    <w:p w14:paraId="7C589505" w14:textId="2A393D64" w:rsidR="000023FF" w:rsidRPr="000023FF" w:rsidRDefault="000023FF">
      <w:pPr>
        <w:pStyle w:val="ListParagraph"/>
        <w:numPr>
          <w:ilvl w:val="1"/>
          <w:numId w:val="1"/>
        </w:numPr>
        <w:tabs>
          <w:tab w:val="left" w:pos="1181"/>
          <w:tab w:val="left" w:pos="1182"/>
        </w:tabs>
        <w:spacing w:line="244" w:lineRule="auto"/>
        <w:ind w:right="628"/>
        <w:rPr>
          <w:color w:val="1F497D" w:themeColor="text2"/>
          <w:sz w:val="24"/>
        </w:rPr>
      </w:pPr>
      <w:r w:rsidRPr="000023FF">
        <w:rPr>
          <w:color w:val="1F497D" w:themeColor="text2"/>
          <w:sz w:val="24"/>
        </w:rPr>
        <w:t>Si recibe una factura, llame al consultorio del médico. Si su proveedor le dice que debe pagar, llame a nuestros Servicios para Miembros al número que aparece a continuación.</w:t>
      </w:r>
    </w:p>
    <w:p w14:paraId="4646F061" w14:textId="1FA03A09" w:rsidR="000023FF" w:rsidRPr="00A12637" w:rsidRDefault="000023FF">
      <w:pPr>
        <w:pStyle w:val="Heading2"/>
        <w:numPr>
          <w:ilvl w:val="0"/>
          <w:numId w:val="1"/>
        </w:numPr>
        <w:tabs>
          <w:tab w:val="left" w:pos="462"/>
        </w:tabs>
        <w:ind w:hanging="361"/>
        <w:rPr>
          <w:color w:val="1F497D" w:themeColor="text2"/>
        </w:rPr>
      </w:pPr>
      <w:r w:rsidRPr="00A12637">
        <w:rPr>
          <w:color w:val="1F497D" w:themeColor="text2"/>
        </w:rPr>
        <w:t>¿Seré más así en el futuro?</w:t>
      </w:r>
    </w:p>
    <w:p w14:paraId="6FD57606" w14:textId="64AA0ACD" w:rsidR="00A12637" w:rsidRPr="00A12637" w:rsidRDefault="00A12637">
      <w:pPr>
        <w:pStyle w:val="ListParagraph"/>
        <w:numPr>
          <w:ilvl w:val="1"/>
          <w:numId w:val="1"/>
        </w:numPr>
        <w:tabs>
          <w:tab w:val="left" w:pos="1181"/>
          <w:tab w:val="left" w:pos="1182"/>
        </w:tabs>
        <w:spacing w:line="244" w:lineRule="auto"/>
        <w:ind w:right="287"/>
        <w:rPr>
          <w:color w:val="1F497D" w:themeColor="text2"/>
          <w:sz w:val="24"/>
        </w:rPr>
      </w:pPr>
      <w:r w:rsidRPr="00A12637">
        <w:rPr>
          <w:color w:val="1F497D" w:themeColor="text2"/>
          <w:sz w:val="24"/>
        </w:rPr>
        <w:t>Recibirá una carta de la UHA para las reclamaciones o autorizaciones previas que se denieguen. Le enviamos un NOABD, por lo que sabe que se le ha negado. Esto es en caso de que el proveedor le cobre. Este aviso también le dará el derecho de presentar una apelación ante nosotros si no está de acuerdo con nuestra decisión. También le indica cómo presentar una apelación.</w:t>
      </w:r>
    </w:p>
    <w:p w14:paraId="0B4DFF6A" w14:textId="77777777" w:rsidR="00B01AC4" w:rsidRPr="00B01AC4" w:rsidRDefault="00B01AC4" w:rsidP="00B01AC4">
      <w:pPr>
        <w:spacing w:before="2" w:line="436" w:lineRule="exact"/>
        <w:ind w:left="129" w:right="43"/>
        <w:jc w:val="center"/>
        <w:rPr>
          <w:rFonts w:ascii="Calibri" w:eastAsia="Calibri" w:hAnsi="Calibri" w:cs="Calibri"/>
          <w:color w:val="1F4E79"/>
          <w:sz w:val="36"/>
          <w:szCs w:val="36"/>
        </w:rPr>
      </w:pPr>
      <w:r w:rsidRPr="00B01AC4">
        <w:rPr>
          <w:rFonts w:ascii="Calibri" w:eastAsia="Calibri" w:hAnsi="Calibri" w:cs="Calibri"/>
          <w:color w:val="1F4E79"/>
          <w:sz w:val="36"/>
          <w:szCs w:val="36"/>
        </w:rPr>
        <w:t>Puede obtener esta carta en otro idioma, en letra grande,</w:t>
      </w:r>
    </w:p>
    <w:p w14:paraId="21CFF71C" w14:textId="4B5D5B41" w:rsidR="00977B99" w:rsidRDefault="00B01AC4" w:rsidP="00B01AC4">
      <w:pPr>
        <w:spacing w:before="2" w:line="436" w:lineRule="exact"/>
        <w:ind w:left="129" w:right="43"/>
        <w:jc w:val="center"/>
        <w:rPr>
          <w:rFonts w:ascii="Calibri"/>
          <w:sz w:val="36"/>
        </w:rPr>
      </w:pPr>
      <w:r w:rsidRPr="00B01AC4">
        <w:rPr>
          <w:rFonts w:ascii="Calibri" w:eastAsia="Calibri" w:hAnsi="Calibri" w:cs="Calibri"/>
          <w:color w:val="1F4E79"/>
          <w:sz w:val="36"/>
          <w:szCs w:val="36"/>
        </w:rPr>
        <w:t>u otra forma que sea mejor para ti</w:t>
      </w:r>
      <w:r w:rsidR="00D358B6">
        <w:rPr>
          <w:rFonts w:ascii="Calibri"/>
          <w:color w:val="1F4E79"/>
          <w:sz w:val="36"/>
        </w:rPr>
        <w:t xml:space="preserve">. </w:t>
      </w:r>
      <w:r w:rsidR="001521EE" w:rsidRPr="001521EE">
        <w:rPr>
          <w:rFonts w:ascii="Calibri"/>
          <w:color w:val="1F4E79"/>
          <w:sz w:val="36"/>
        </w:rPr>
        <w:t>Llamada</w:t>
      </w:r>
      <w:r w:rsidR="00D358B6">
        <w:rPr>
          <w:rFonts w:ascii="Calibri"/>
          <w:color w:val="1F4E79"/>
          <w:sz w:val="36"/>
        </w:rPr>
        <w:t xml:space="preserve"> 541-229-4842 (TTY 711).</w:t>
      </w:r>
    </w:p>
    <w:p w14:paraId="4247B1F5" w14:textId="77777777" w:rsidR="00977B99" w:rsidRDefault="00D358B6">
      <w:pPr>
        <w:pStyle w:val="BodyText"/>
        <w:tabs>
          <w:tab w:val="left" w:pos="9387"/>
        </w:tabs>
        <w:spacing w:before="0" w:line="302" w:lineRule="exact"/>
        <w:ind w:left="2388" w:firstLine="0"/>
        <w:rPr>
          <w:rFonts w:ascii="Calibri" w:hAnsi="Calibri"/>
          <w:sz w:val="22"/>
        </w:rPr>
      </w:pPr>
      <w:r>
        <w:rPr>
          <w:rFonts w:ascii="Calibri" w:hAnsi="Calibri"/>
          <w:color w:val="1F4E79"/>
        </w:rPr>
        <w:t>500</w:t>
      </w:r>
      <w:r>
        <w:rPr>
          <w:rFonts w:ascii="Calibri" w:hAnsi="Calibri"/>
          <w:color w:val="1F4E79"/>
          <w:spacing w:val="8"/>
        </w:rPr>
        <w:t xml:space="preserve"> </w:t>
      </w:r>
      <w:r>
        <w:rPr>
          <w:rFonts w:ascii="Calibri" w:hAnsi="Calibri"/>
          <w:color w:val="1F4E79"/>
        </w:rPr>
        <w:t>SE</w:t>
      </w:r>
      <w:r>
        <w:rPr>
          <w:rFonts w:ascii="Calibri" w:hAnsi="Calibri"/>
          <w:color w:val="1F4E79"/>
          <w:spacing w:val="8"/>
        </w:rPr>
        <w:t xml:space="preserve"> </w:t>
      </w:r>
      <w:r>
        <w:rPr>
          <w:rFonts w:ascii="Calibri" w:hAnsi="Calibri"/>
          <w:color w:val="1F4E79"/>
        </w:rPr>
        <w:t>Cass</w:t>
      </w:r>
      <w:r>
        <w:rPr>
          <w:rFonts w:ascii="Calibri" w:hAnsi="Calibri"/>
          <w:color w:val="1F4E79"/>
          <w:spacing w:val="9"/>
        </w:rPr>
        <w:t xml:space="preserve"> </w:t>
      </w:r>
      <w:r>
        <w:rPr>
          <w:rFonts w:ascii="Calibri" w:hAnsi="Calibri"/>
          <w:color w:val="1F4E79"/>
        </w:rPr>
        <w:t>Ave</w:t>
      </w:r>
      <w:r>
        <w:rPr>
          <w:rFonts w:ascii="Calibri" w:hAnsi="Calibri"/>
          <w:color w:val="1F4E79"/>
          <w:spacing w:val="10"/>
        </w:rPr>
        <w:t xml:space="preserve"> </w:t>
      </w:r>
      <w:r>
        <w:rPr>
          <w:rFonts w:ascii="Calibri" w:hAnsi="Calibri"/>
          <w:color w:val="1F4E79"/>
        </w:rPr>
        <w:t>–</w:t>
      </w:r>
      <w:r>
        <w:rPr>
          <w:rFonts w:ascii="Calibri" w:hAnsi="Calibri"/>
          <w:color w:val="1F4E79"/>
          <w:spacing w:val="8"/>
        </w:rPr>
        <w:t xml:space="preserve"> </w:t>
      </w:r>
      <w:r>
        <w:rPr>
          <w:rFonts w:ascii="Calibri" w:hAnsi="Calibri"/>
          <w:color w:val="1F4E79"/>
        </w:rPr>
        <w:t>Suite</w:t>
      </w:r>
      <w:r>
        <w:rPr>
          <w:rFonts w:ascii="Calibri" w:hAnsi="Calibri"/>
          <w:color w:val="1F4E79"/>
          <w:spacing w:val="9"/>
        </w:rPr>
        <w:t xml:space="preserve"> </w:t>
      </w:r>
      <w:r>
        <w:rPr>
          <w:rFonts w:ascii="Calibri" w:hAnsi="Calibri"/>
          <w:color w:val="1F4E79"/>
        </w:rPr>
        <w:t>101</w:t>
      </w:r>
      <w:r>
        <w:rPr>
          <w:rFonts w:ascii="Calibri" w:hAnsi="Calibri"/>
          <w:color w:val="1F4E79"/>
          <w:spacing w:val="9"/>
        </w:rPr>
        <w:t xml:space="preserve"> </w:t>
      </w:r>
      <w:r>
        <w:rPr>
          <w:rFonts w:ascii="Symbol" w:hAnsi="Symbol"/>
          <w:color w:val="1F4E79"/>
        </w:rPr>
        <w:t></w:t>
      </w:r>
      <w:r>
        <w:rPr>
          <w:rFonts w:ascii="Times New Roman" w:hAnsi="Times New Roman"/>
          <w:color w:val="1F4E79"/>
          <w:spacing w:val="4"/>
        </w:rPr>
        <w:t xml:space="preserve"> </w:t>
      </w:r>
      <w:r>
        <w:rPr>
          <w:rFonts w:ascii="Calibri" w:hAnsi="Calibri"/>
          <w:color w:val="1F4E79"/>
        </w:rPr>
        <w:t>Roseburg</w:t>
      </w:r>
      <w:r>
        <w:rPr>
          <w:rFonts w:ascii="Calibri" w:hAnsi="Calibri"/>
          <w:color w:val="1F4E79"/>
          <w:spacing w:val="8"/>
        </w:rPr>
        <w:t xml:space="preserve"> </w:t>
      </w:r>
      <w:r>
        <w:rPr>
          <w:rFonts w:ascii="Calibri" w:hAnsi="Calibri"/>
          <w:color w:val="1F4E79"/>
        </w:rPr>
        <w:t>OR</w:t>
      </w:r>
      <w:r>
        <w:rPr>
          <w:rFonts w:ascii="Calibri" w:hAnsi="Calibri"/>
          <w:color w:val="1F4E79"/>
          <w:spacing w:val="8"/>
        </w:rPr>
        <w:t xml:space="preserve"> </w:t>
      </w:r>
      <w:r>
        <w:rPr>
          <w:rFonts w:ascii="Calibri" w:hAnsi="Calibri"/>
          <w:color w:val="1F4E79"/>
        </w:rPr>
        <w:t>97470</w:t>
      </w:r>
      <w:r>
        <w:rPr>
          <w:rFonts w:ascii="Calibri" w:hAnsi="Calibri"/>
          <w:color w:val="1F4E79"/>
          <w:spacing w:val="9"/>
        </w:rPr>
        <w:t xml:space="preserve"> </w:t>
      </w:r>
      <w:r>
        <w:rPr>
          <w:rFonts w:ascii="Symbol" w:hAnsi="Symbol"/>
          <w:color w:val="1F4E79"/>
        </w:rPr>
        <w:t></w:t>
      </w:r>
      <w:r>
        <w:rPr>
          <w:rFonts w:ascii="Times New Roman" w:hAnsi="Times New Roman"/>
          <w:color w:val="1F4E79"/>
          <w:spacing w:val="2"/>
        </w:rPr>
        <w:t xml:space="preserve"> </w:t>
      </w:r>
      <w:r>
        <w:rPr>
          <w:rFonts w:ascii="Calibri" w:hAnsi="Calibri"/>
          <w:color w:val="1F4E79"/>
        </w:rPr>
        <w:t>541-229-4842</w:t>
      </w:r>
      <w:r>
        <w:rPr>
          <w:rFonts w:ascii="Calibri" w:hAnsi="Calibri"/>
          <w:color w:val="1F4E79"/>
        </w:rPr>
        <w:tab/>
      </w:r>
      <w:r>
        <w:rPr>
          <w:rFonts w:ascii="Calibri" w:hAnsi="Calibri"/>
          <w:color w:val="FFFFFF"/>
          <w:position w:val="3"/>
          <w:sz w:val="22"/>
        </w:rPr>
        <w:t>OHP-UHA-20-006</w:t>
      </w:r>
    </w:p>
    <w:sectPr w:rsidR="00977B99">
      <w:type w:val="continuous"/>
      <w:pgSz w:w="12240" w:h="15840"/>
      <w:pgMar w:top="280" w:right="5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8050F"/>
    <w:multiLevelType w:val="hybridMultilevel"/>
    <w:tmpl w:val="6F8834A6"/>
    <w:lvl w:ilvl="0" w:tplc="3D5C791C">
      <w:numFmt w:val="bullet"/>
      <w:lvlText w:val=""/>
      <w:lvlJc w:val="left"/>
      <w:pPr>
        <w:ind w:left="450" w:hanging="360"/>
      </w:pPr>
      <w:rPr>
        <w:rFonts w:ascii="Wingdings" w:eastAsia="Wingdings" w:hAnsi="Wingdings" w:cs="Wingdings" w:hint="default"/>
        <w:color w:val="EF89E8"/>
        <w:w w:val="100"/>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B5D6A85"/>
    <w:multiLevelType w:val="hybridMultilevel"/>
    <w:tmpl w:val="94BEDCA2"/>
    <w:lvl w:ilvl="0" w:tplc="3D5C791C">
      <w:numFmt w:val="bullet"/>
      <w:lvlText w:val=""/>
      <w:lvlJc w:val="left"/>
      <w:pPr>
        <w:ind w:left="820" w:hanging="360"/>
      </w:pPr>
      <w:rPr>
        <w:rFonts w:ascii="Wingdings" w:eastAsia="Wingdings" w:hAnsi="Wingdings" w:cs="Wingdings" w:hint="default"/>
        <w:color w:val="EF89E8"/>
        <w:w w:val="100"/>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56EA0628"/>
    <w:multiLevelType w:val="hybridMultilevel"/>
    <w:tmpl w:val="9E8CCEB2"/>
    <w:lvl w:ilvl="0" w:tplc="0C02E450">
      <w:numFmt w:val="bullet"/>
      <w:lvlText w:val=""/>
      <w:lvlJc w:val="left"/>
      <w:pPr>
        <w:ind w:left="461" w:hanging="360"/>
      </w:pPr>
      <w:rPr>
        <w:rFonts w:ascii="Wingdings" w:eastAsia="Wingdings" w:hAnsi="Wingdings" w:cs="Wingdings" w:hint="default"/>
        <w:color w:val="EF89E8"/>
        <w:w w:val="100"/>
        <w:sz w:val="24"/>
        <w:szCs w:val="24"/>
      </w:rPr>
    </w:lvl>
    <w:lvl w:ilvl="1" w:tplc="5470BA76">
      <w:numFmt w:val="bullet"/>
      <w:lvlText w:val=""/>
      <w:lvlJc w:val="left"/>
      <w:pPr>
        <w:ind w:left="1181" w:hanging="360"/>
      </w:pPr>
      <w:rPr>
        <w:rFonts w:ascii="Wingdings" w:eastAsia="Wingdings" w:hAnsi="Wingdings" w:cs="Wingdings" w:hint="default"/>
        <w:color w:val="EF89E8"/>
        <w:w w:val="100"/>
        <w:sz w:val="24"/>
        <w:szCs w:val="24"/>
      </w:rPr>
    </w:lvl>
    <w:lvl w:ilvl="2" w:tplc="F6CC8986">
      <w:numFmt w:val="bullet"/>
      <w:lvlText w:val="•"/>
      <w:lvlJc w:val="left"/>
      <w:pPr>
        <w:ind w:left="2300" w:hanging="360"/>
      </w:pPr>
      <w:rPr>
        <w:rFonts w:hint="default"/>
      </w:rPr>
    </w:lvl>
    <w:lvl w:ilvl="3" w:tplc="7114A7C6">
      <w:numFmt w:val="bullet"/>
      <w:lvlText w:val="•"/>
      <w:lvlJc w:val="left"/>
      <w:pPr>
        <w:ind w:left="3420" w:hanging="360"/>
      </w:pPr>
      <w:rPr>
        <w:rFonts w:hint="default"/>
      </w:rPr>
    </w:lvl>
    <w:lvl w:ilvl="4" w:tplc="DC80B2DC">
      <w:numFmt w:val="bullet"/>
      <w:lvlText w:val="•"/>
      <w:lvlJc w:val="left"/>
      <w:pPr>
        <w:ind w:left="4540" w:hanging="360"/>
      </w:pPr>
      <w:rPr>
        <w:rFonts w:hint="default"/>
      </w:rPr>
    </w:lvl>
    <w:lvl w:ilvl="5" w:tplc="511622A4">
      <w:numFmt w:val="bullet"/>
      <w:lvlText w:val="•"/>
      <w:lvlJc w:val="left"/>
      <w:pPr>
        <w:ind w:left="5660" w:hanging="360"/>
      </w:pPr>
      <w:rPr>
        <w:rFonts w:hint="default"/>
      </w:rPr>
    </w:lvl>
    <w:lvl w:ilvl="6" w:tplc="6B02AFC8">
      <w:numFmt w:val="bullet"/>
      <w:lvlText w:val="•"/>
      <w:lvlJc w:val="left"/>
      <w:pPr>
        <w:ind w:left="6780" w:hanging="360"/>
      </w:pPr>
      <w:rPr>
        <w:rFonts w:hint="default"/>
      </w:rPr>
    </w:lvl>
    <w:lvl w:ilvl="7" w:tplc="FCFA9302">
      <w:numFmt w:val="bullet"/>
      <w:lvlText w:val="•"/>
      <w:lvlJc w:val="left"/>
      <w:pPr>
        <w:ind w:left="7900" w:hanging="360"/>
      </w:pPr>
      <w:rPr>
        <w:rFonts w:hint="default"/>
      </w:rPr>
    </w:lvl>
    <w:lvl w:ilvl="8" w:tplc="601A51EA">
      <w:numFmt w:val="bullet"/>
      <w:lvlText w:val="•"/>
      <w:lvlJc w:val="left"/>
      <w:pPr>
        <w:ind w:left="902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99"/>
    <w:rsid w:val="000023FF"/>
    <w:rsid w:val="00010E6A"/>
    <w:rsid w:val="001521EE"/>
    <w:rsid w:val="00977B99"/>
    <w:rsid w:val="00A12637"/>
    <w:rsid w:val="00B01AC4"/>
    <w:rsid w:val="00B21E1F"/>
    <w:rsid w:val="00D358B6"/>
    <w:rsid w:val="00D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8A9CD"/>
  <w15:docId w15:val="{11EA7DED-27B0-41C3-A42F-CC84AF49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line="436" w:lineRule="exact"/>
      <w:ind w:left="129" w:right="43"/>
      <w:jc w:val="center"/>
      <w:outlineLvl w:val="0"/>
    </w:pPr>
    <w:rPr>
      <w:rFonts w:ascii="Calibri" w:eastAsia="Calibri" w:hAnsi="Calibri" w:cs="Calibri"/>
      <w:sz w:val="36"/>
      <w:szCs w:val="36"/>
    </w:rPr>
  </w:style>
  <w:style w:type="paragraph" w:styleId="Heading2">
    <w:name w:val="heading 2"/>
    <w:basedOn w:val="Normal"/>
    <w:uiPriority w:val="9"/>
    <w:unhideWhenUsed/>
    <w:qFormat/>
    <w:pPr>
      <w:spacing w:before="9"/>
      <w:ind w:left="461"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181" w:hanging="360"/>
    </w:pPr>
    <w:rPr>
      <w:sz w:val="24"/>
      <w:szCs w:val="24"/>
    </w:rPr>
  </w:style>
  <w:style w:type="paragraph" w:styleId="ListParagraph">
    <w:name w:val="List Paragraph"/>
    <w:basedOn w:val="Normal"/>
    <w:uiPriority w:val="1"/>
    <w:qFormat/>
    <w:pPr>
      <w:spacing w:before="6"/>
      <w:ind w:left="46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2134</Characters>
  <Application>Microsoft Office Word</Application>
  <DocSecurity>4</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Umpqua Health</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Birch</dc:creator>
  <cp:lastModifiedBy>Lindsey Birch</cp:lastModifiedBy>
  <cp:revision>2</cp:revision>
  <dcterms:created xsi:type="dcterms:W3CDTF">2022-05-31T19:55:00Z</dcterms:created>
  <dcterms:modified xsi:type="dcterms:W3CDTF">2022-05-31T19:55:00Z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PDFium</vt:lpwstr>
  </property>
  <property fmtid="{D5CDD505-2E9C-101B-9397-08002B2CF9AE}" pid="4" name="LastSaved">
    <vt:filetime>2022-05-26T00:00:00Z</vt:filetime>
  </property>
</Properties>
</file>