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041E9" w14:textId="77777777" w:rsidR="00DA2D42" w:rsidRDefault="00DA2D42" w:rsidP="000E42AC">
      <w:pPr>
        <w:pStyle w:val="Heading1"/>
        <w:jc w:val="center"/>
        <w:rPr>
          <w:sz w:val="72"/>
          <w:szCs w:val="72"/>
        </w:rPr>
      </w:pPr>
      <w:bookmarkStart w:id="0" w:name="_Toc73117727"/>
    </w:p>
    <w:p w14:paraId="7EB5D064" w14:textId="1928ED20" w:rsidR="00027F5F" w:rsidRDefault="00027F5F" w:rsidP="00027F5F"/>
    <w:p w14:paraId="3DCA8DF3" w14:textId="1EB48A9B" w:rsidR="00027F5F" w:rsidRDefault="00027F5F" w:rsidP="00027F5F"/>
    <w:p w14:paraId="0F36224C" w14:textId="77777777" w:rsidR="00027F5F" w:rsidRDefault="00027F5F" w:rsidP="00027F5F"/>
    <w:p w14:paraId="44AD8780" w14:textId="33EF4EFB" w:rsidR="00DA2D42" w:rsidRDefault="00DA2D42" w:rsidP="000E42AC">
      <w:pPr>
        <w:pStyle w:val="Heading1"/>
        <w:jc w:val="center"/>
        <w:rPr>
          <w:rFonts w:ascii="Baskerville Old Face" w:hAnsi="Baskerville Old Face"/>
          <w:b/>
          <w:bCs/>
          <w:sz w:val="72"/>
          <w:szCs w:val="72"/>
        </w:rPr>
      </w:pPr>
      <w:r w:rsidRPr="00DA2D42">
        <w:rPr>
          <w:rFonts w:ascii="Baskerville Old Face" w:hAnsi="Baskerville Old Face"/>
          <w:b/>
          <w:bCs/>
          <w:sz w:val="72"/>
          <w:szCs w:val="72"/>
        </w:rPr>
        <w:t xml:space="preserve">Utilization Management </w:t>
      </w:r>
      <w:r>
        <w:rPr>
          <w:rFonts w:ascii="Baskerville Old Face" w:hAnsi="Baskerville Old Face"/>
          <w:b/>
          <w:bCs/>
          <w:sz w:val="72"/>
          <w:szCs w:val="72"/>
        </w:rPr>
        <w:t xml:space="preserve">and </w:t>
      </w:r>
    </w:p>
    <w:p w14:paraId="54A4E24B" w14:textId="7C077201" w:rsidR="00110B47" w:rsidRPr="00DA2D42" w:rsidRDefault="00DA2D42" w:rsidP="000E42AC">
      <w:pPr>
        <w:pStyle w:val="Heading1"/>
        <w:jc w:val="center"/>
        <w:rPr>
          <w:rFonts w:ascii="Baskerville Old Face" w:hAnsi="Baskerville Old Face"/>
          <w:b/>
          <w:bCs/>
          <w:sz w:val="72"/>
          <w:szCs w:val="72"/>
        </w:rPr>
      </w:pPr>
      <w:r w:rsidRPr="00DA2D42">
        <w:rPr>
          <w:rFonts w:ascii="Baskerville Old Face" w:hAnsi="Baskerville Old Face"/>
          <w:b/>
          <w:bCs/>
          <w:sz w:val="72"/>
          <w:szCs w:val="72"/>
        </w:rPr>
        <w:t>Service Authorization Handbook</w:t>
      </w:r>
      <w:bookmarkEnd w:id="0"/>
    </w:p>
    <w:p w14:paraId="548A2E50" w14:textId="77777777" w:rsidR="00780C21" w:rsidRPr="000E42AC" w:rsidRDefault="00780C21" w:rsidP="005E5EB3">
      <w:pPr>
        <w:spacing w:after="0"/>
        <w:rPr>
          <w:rFonts w:cs="Times New Roman"/>
          <w:szCs w:val="24"/>
        </w:rPr>
      </w:pPr>
    </w:p>
    <w:p w14:paraId="541F8F73" w14:textId="6F937CF4" w:rsidR="005670C5" w:rsidRPr="00DA2D42" w:rsidRDefault="005670C5" w:rsidP="005670C5">
      <w:pPr>
        <w:jc w:val="center"/>
        <w:rPr>
          <w:rFonts w:cs="Times New Roman"/>
          <w:i/>
          <w:szCs w:val="24"/>
        </w:rPr>
      </w:pPr>
      <w:r w:rsidRPr="00DA2D42">
        <w:rPr>
          <w:rFonts w:cs="Times New Roman"/>
          <w:i/>
          <w:szCs w:val="24"/>
        </w:rPr>
        <w:t>A collection of utilization management policies, procedures, and criteria for covered services to ensure consistent application of review criteria for authorization decisions.</w:t>
      </w:r>
      <w:r w:rsidR="00481180" w:rsidRPr="00481180">
        <w:t xml:space="preserve"> </w:t>
      </w:r>
      <w:r w:rsidR="00481180" w:rsidRPr="00481180">
        <w:rPr>
          <w:rFonts w:cs="Times New Roman"/>
          <w:i/>
          <w:szCs w:val="24"/>
        </w:rPr>
        <w:t xml:space="preserve">Participating Providers and Subcontractors </w:t>
      </w:r>
      <w:r w:rsidR="00481180">
        <w:rPr>
          <w:rFonts w:cs="Times New Roman"/>
          <w:i/>
          <w:szCs w:val="24"/>
        </w:rPr>
        <w:t>must</w:t>
      </w:r>
      <w:r w:rsidR="00481180" w:rsidRPr="00481180">
        <w:rPr>
          <w:rFonts w:cs="Times New Roman"/>
          <w:i/>
          <w:szCs w:val="24"/>
        </w:rPr>
        <w:t xml:space="preserve"> adhere to the policies and procedures set forth in th</w:t>
      </w:r>
      <w:r w:rsidR="00481180">
        <w:rPr>
          <w:rFonts w:cs="Times New Roman"/>
          <w:i/>
          <w:szCs w:val="24"/>
        </w:rPr>
        <w:t>is</w:t>
      </w:r>
      <w:r w:rsidR="00481180" w:rsidRPr="00481180">
        <w:rPr>
          <w:rFonts w:cs="Times New Roman"/>
          <w:i/>
          <w:szCs w:val="24"/>
        </w:rPr>
        <w:t xml:space="preserve"> Service Authorization Handbook.</w:t>
      </w:r>
    </w:p>
    <w:p w14:paraId="59CF0731" w14:textId="77777777" w:rsidR="005670C5" w:rsidRPr="000E42AC" w:rsidRDefault="005670C5" w:rsidP="005670C5">
      <w:pPr>
        <w:spacing w:after="0"/>
        <w:jc w:val="center"/>
        <w:rPr>
          <w:rFonts w:cs="Times New Roman"/>
          <w:szCs w:val="24"/>
        </w:rPr>
      </w:pPr>
    </w:p>
    <w:p w14:paraId="7653C986" w14:textId="3C5B04C3" w:rsidR="00110B47" w:rsidRPr="000E42AC" w:rsidRDefault="00110B47" w:rsidP="005E5EB3">
      <w:pPr>
        <w:spacing w:after="0"/>
        <w:rPr>
          <w:rFonts w:cs="Times New Roman"/>
          <w:szCs w:val="24"/>
        </w:rPr>
      </w:pPr>
    </w:p>
    <w:p w14:paraId="7040220E" w14:textId="77777777" w:rsidR="005D5650" w:rsidRDefault="005D5650" w:rsidP="005D5650">
      <w:pPr>
        <w:spacing w:after="0" w:line="240" w:lineRule="auto"/>
        <w:rPr>
          <w:rFonts w:cs="Times New Roman"/>
          <w:color w:val="000000" w:themeColor="text1"/>
          <w:szCs w:val="24"/>
        </w:rPr>
      </w:pPr>
    </w:p>
    <w:p w14:paraId="0052095D" w14:textId="77777777" w:rsidR="00C043F8" w:rsidRDefault="00C043F8" w:rsidP="005D5650">
      <w:pPr>
        <w:spacing w:after="0" w:line="240" w:lineRule="auto"/>
        <w:rPr>
          <w:rFonts w:cs="Times New Roman"/>
          <w:color w:val="000000" w:themeColor="text1"/>
          <w:szCs w:val="24"/>
        </w:rPr>
      </w:pPr>
    </w:p>
    <w:p w14:paraId="6E26F97B" w14:textId="77777777" w:rsidR="00C043F8" w:rsidRDefault="00C043F8" w:rsidP="005D5650">
      <w:pPr>
        <w:spacing w:after="0" w:line="240" w:lineRule="auto"/>
        <w:rPr>
          <w:rFonts w:cs="Times New Roman"/>
          <w:color w:val="000000" w:themeColor="text1"/>
          <w:szCs w:val="24"/>
        </w:rPr>
      </w:pPr>
    </w:p>
    <w:p w14:paraId="24BC027F" w14:textId="77777777" w:rsidR="00C043F8" w:rsidRDefault="00C043F8" w:rsidP="005D5650">
      <w:pPr>
        <w:spacing w:after="0" w:line="240" w:lineRule="auto"/>
        <w:rPr>
          <w:rFonts w:cs="Times New Roman"/>
          <w:color w:val="000000" w:themeColor="text1"/>
          <w:szCs w:val="24"/>
        </w:rPr>
      </w:pPr>
    </w:p>
    <w:p w14:paraId="50FA5D62" w14:textId="77777777" w:rsidR="00C043F8" w:rsidRDefault="00C043F8" w:rsidP="005D5650">
      <w:pPr>
        <w:spacing w:after="0" w:line="240" w:lineRule="auto"/>
        <w:rPr>
          <w:rFonts w:cs="Times New Roman"/>
          <w:color w:val="000000" w:themeColor="text1"/>
          <w:szCs w:val="24"/>
        </w:rPr>
      </w:pPr>
    </w:p>
    <w:p w14:paraId="5B59CC12" w14:textId="77777777" w:rsidR="00C043F8" w:rsidRDefault="00C043F8" w:rsidP="005D5650">
      <w:pPr>
        <w:spacing w:after="0" w:line="240" w:lineRule="auto"/>
        <w:rPr>
          <w:rFonts w:cs="Times New Roman"/>
          <w:color w:val="000000" w:themeColor="text1"/>
          <w:szCs w:val="24"/>
        </w:rPr>
      </w:pPr>
    </w:p>
    <w:p w14:paraId="7AB15FDC" w14:textId="77777777" w:rsidR="00C043F8" w:rsidRDefault="00C043F8" w:rsidP="005D5650">
      <w:pPr>
        <w:spacing w:after="0" w:line="240" w:lineRule="auto"/>
        <w:rPr>
          <w:rFonts w:cs="Times New Roman"/>
          <w:color w:val="000000" w:themeColor="text1"/>
          <w:szCs w:val="24"/>
        </w:rPr>
      </w:pPr>
    </w:p>
    <w:p w14:paraId="76463471" w14:textId="77777777" w:rsidR="00C043F8" w:rsidRDefault="00C043F8" w:rsidP="005D5650">
      <w:pPr>
        <w:spacing w:after="0" w:line="240" w:lineRule="auto"/>
        <w:rPr>
          <w:rFonts w:cs="Times New Roman"/>
          <w:color w:val="000000" w:themeColor="text1"/>
          <w:szCs w:val="24"/>
        </w:rPr>
      </w:pPr>
    </w:p>
    <w:p w14:paraId="628BFD87" w14:textId="77777777" w:rsidR="00C043F8" w:rsidRDefault="00C043F8" w:rsidP="005D5650">
      <w:pPr>
        <w:spacing w:after="0" w:line="240" w:lineRule="auto"/>
        <w:rPr>
          <w:rFonts w:cs="Times New Roman"/>
          <w:color w:val="000000" w:themeColor="text1"/>
          <w:szCs w:val="24"/>
        </w:rPr>
      </w:pPr>
    </w:p>
    <w:p w14:paraId="5DF440B8" w14:textId="77777777" w:rsidR="00C043F8" w:rsidRDefault="00C043F8" w:rsidP="005D5650">
      <w:pPr>
        <w:spacing w:after="0" w:line="240" w:lineRule="auto"/>
        <w:rPr>
          <w:rFonts w:cs="Times New Roman"/>
          <w:color w:val="000000" w:themeColor="text1"/>
          <w:szCs w:val="24"/>
        </w:rPr>
      </w:pPr>
    </w:p>
    <w:p w14:paraId="060A047E" w14:textId="2F8A0BD2" w:rsidR="005D5650" w:rsidRPr="000E42AC" w:rsidRDefault="005D5650" w:rsidP="005D5650">
      <w:pPr>
        <w:spacing w:after="0" w:line="240" w:lineRule="auto"/>
        <w:rPr>
          <w:rFonts w:cs="Times New Roman"/>
          <w:color w:val="000000" w:themeColor="text1"/>
          <w:szCs w:val="24"/>
        </w:rPr>
      </w:pPr>
      <w:r>
        <w:rPr>
          <w:rFonts w:cs="Times New Roman"/>
          <w:color w:val="000000" w:themeColor="text1"/>
          <w:szCs w:val="24"/>
        </w:rPr>
        <w:lastRenderedPageBreak/>
        <w:t>This U</w:t>
      </w:r>
      <w:r w:rsidRPr="000E42AC">
        <w:rPr>
          <w:rFonts w:cs="Times New Roman"/>
          <w:color w:val="000000" w:themeColor="text1"/>
          <w:szCs w:val="24"/>
        </w:rPr>
        <w:t xml:space="preserve">tilization </w:t>
      </w:r>
      <w:r>
        <w:rPr>
          <w:rFonts w:cs="Times New Roman"/>
          <w:color w:val="000000" w:themeColor="text1"/>
          <w:szCs w:val="24"/>
        </w:rPr>
        <w:t>M</w:t>
      </w:r>
      <w:r w:rsidRPr="000E42AC">
        <w:rPr>
          <w:rFonts w:cs="Times New Roman"/>
          <w:color w:val="000000" w:themeColor="text1"/>
          <w:szCs w:val="24"/>
        </w:rPr>
        <w:t xml:space="preserve">anagement (UM) and </w:t>
      </w:r>
      <w:r>
        <w:rPr>
          <w:rFonts w:cs="Times New Roman"/>
          <w:color w:val="000000" w:themeColor="text1"/>
          <w:szCs w:val="24"/>
        </w:rPr>
        <w:t>S</w:t>
      </w:r>
      <w:r w:rsidRPr="000E42AC">
        <w:rPr>
          <w:rFonts w:cs="Times New Roman"/>
          <w:color w:val="000000" w:themeColor="text1"/>
          <w:szCs w:val="24"/>
        </w:rPr>
        <w:t xml:space="preserve">ervice </w:t>
      </w:r>
      <w:r>
        <w:rPr>
          <w:rFonts w:cs="Times New Roman"/>
          <w:color w:val="000000" w:themeColor="text1"/>
          <w:szCs w:val="24"/>
        </w:rPr>
        <w:t>A</w:t>
      </w:r>
      <w:r w:rsidRPr="000E42AC">
        <w:rPr>
          <w:rFonts w:cs="Times New Roman"/>
          <w:color w:val="000000" w:themeColor="text1"/>
          <w:szCs w:val="24"/>
        </w:rPr>
        <w:t xml:space="preserve">uthorization </w:t>
      </w:r>
      <w:r>
        <w:rPr>
          <w:rFonts w:cs="Times New Roman"/>
          <w:color w:val="000000" w:themeColor="text1"/>
          <w:szCs w:val="24"/>
        </w:rPr>
        <w:t>H</w:t>
      </w:r>
      <w:r w:rsidRPr="000E42AC">
        <w:rPr>
          <w:rFonts w:cs="Times New Roman"/>
          <w:color w:val="000000" w:themeColor="text1"/>
          <w:szCs w:val="24"/>
        </w:rPr>
        <w:t xml:space="preserve">andbook sets forth </w:t>
      </w:r>
      <w:r>
        <w:rPr>
          <w:rFonts w:cs="Times New Roman"/>
          <w:color w:val="000000" w:themeColor="text1"/>
          <w:szCs w:val="24"/>
        </w:rPr>
        <w:t>UHA’s</w:t>
      </w:r>
      <w:r w:rsidRPr="000E42AC">
        <w:rPr>
          <w:rFonts w:cs="Times New Roman"/>
          <w:color w:val="000000" w:themeColor="text1"/>
          <w:szCs w:val="24"/>
        </w:rPr>
        <w:t xml:space="preserve"> utilization </w:t>
      </w:r>
      <w:r>
        <w:rPr>
          <w:rFonts w:cs="Times New Roman"/>
          <w:color w:val="000000" w:themeColor="text1"/>
          <w:szCs w:val="24"/>
        </w:rPr>
        <w:t>m</w:t>
      </w:r>
      <w:r w:rsidRPr="000E42AC">
        <w:rPr>
          <w:rFonts w:cs="Times New Roman"/>
          <w:color w:val="000000" w:themeColor="text1"/>
          <w:szCs w:val="24"/>
        </w:rPr>
        <w:t>anagement policies, procedures, and criteria for covered services</w:t>
      </w:r>
      <w:r>
        <w:rPr>
          <w:rFonts w:cs="Times New Roman"/>
          <w:color w:val="000000" w:themeColor="text1"/>
          <w:szCs w:val="24"/>
        </w:rPr>
        <w:t xml:space="preserve"> </w:t>
      </w:r>
      <w:r w:rsidRPr="000E42AC">
        <w:rPr>
          <w:rFonts w:cs="Times New Roman"/>
          <w:color w:val="000000" w:themeColor="text1"/>
          <w:szCs w:val="24"/>
        </w:rPr>
        <w:t xml:space="preserve">that comply with </w:t>
      </w:r>
      <w:r w:rsidR="00E944D8">
        <w:rPr>
          <w:rFonts w:cs="Times New Roman"/>
          <w:color w:val="000000" w:themeColor="text1"/>
          <w:szCs w:val="24"/>
        </w:rPr>
        <w:t>state and federal requirements (</w:t>
      </w:r>
      <w:r w:rsidRPr="000E42AC">
        <w:rPr>
          <w:rFonts w:cs="Times New Roman"/>
          <w:color w:val="000000" w:themeColor="text1"/>
          <w:szCs w:val="24"/>
        </w:rPr>
        <w:t>42 CFR §438.210 and OAR 410-141-3835</w:t>
      </w:r>
      <w:r w:rsidR="00E944D8">
        <w:rPr>
          <w:rFonts w:cs="Times New Roman"/>
          <w:color w:val="000000" w:themeColor="text1"/>
          <w:szCs w:val="24"/>
        </w:rPr>
        <w:t>)</w:t>
      </w:r>
      <w:r w:rsidRPr="000E42AC">
        <w:rPr>
          <w:rFonts w:cs="Times New Roman"/>
          <w:color w:val="000000" w:themeColor="text1"/>
          <w:szCs w:val="24"/>
        </w:rPr>
        <w:t xml:space="preserve"> to ensure consistent application of review criteria for authorization decisions.</w:t>
      </w:r>
    </w:p>
    <w:p w14:paraId="495B0A86" w14:textId="77777777" w:rsidR="005D5650" w:rsidRPr="000E42AC" w:rsidRDefault="005D5650" w:rsidP="005D5650">
      <w:pPr>
        <w:spacing w:after="0" w:line="240" w:lineRule="auto"/>
        <w:rPr>
          <w:rFonts w:cs="Times New Roman"/>
          <w:color w:val="000000" w:themeColor="text1"/>
          <w:szCs w:val="24"/>
        </w:rPr>
      </w:pPr>
    </w:p>
    <w:p w14:paraId="0FDEF37B" w14:textId="3107DAB4" w:rsidR="00E944D8" w:rsidRPr="006A0359" w:rsidRDefault="00E944D8" w:rsidP="00E944D8">
      <w:pPr>
        <w:pStyle w:val="NoSpacing"/>
        <w:rPr>
          <w:rFonts w:ascii="Times New Roman" w:hAnsi="Times New Roman" w:cs="Times New Roman"/>
          <w:color w:val="000000" w:themeColor="text1"/>
          <w:sz w:val="24"/>
          <w:szCs w:val="24"/>
        </w:rPr>
      </w:pPr>
      <w:r w:rsidRPr="006A0359">
        <w:rPr>
          <w:rFonts w:ascii="Times New Roman" w:hAnsi="Times New Roman" w:cs="Times New Roman"/>
          <w:color w:val="000000" w:themeColor="text1"/>
          <w:sz w:val="24"/>
          <w:szCs w:val="24"/>
        </w:rPr>
        <w:t>Umpqua Health Alliance (UHA) provide</w:t>
      </w:r>
      <w:r>
        <w:rPr>
          <w:rFonts w:ascii="Times New Roman" w:hAnsi="Times New Roman" w:cs="Times New Roman"/>
          <w:color w:val="000000" w:themeColor="text1"/>
          <w:sz w:val="24"/>
          <w:szCs w:val="24"/>
        </w:rPr>
        <w:t>s</w:t>
      </w:r>
      <w:r w:rsidRPr="006A0359">
        <w:rPr>
          <w:rFonts w:ascii="Times New Roman" w:hAnsi="Times New Roman" w:cs="Times New Roman"/>
          <w:color w:val="000000" w:themeColor="text1"/>
          <w:sz w:val="24"/>
          <w:szCs w:val="24"/>
        </w:rPr>
        <w:t xml:space="preserve"> medically appropriate, cost-effective health </w:t>
      </w:r>
      <w:r>
        <w:rPr>
          <w:rFonts w:ascii="Times New Roman" w:hAnsi="Times New Roman" w:cs="Times New Roman"/>
          <w:color w:val="000000" w:themeColor="text1"/>
          <w:sz w:val="24"/>
          <w:szCs w:val="24"/>
        </w:rPr>
        <w:t>services</w:t>
      </w:r>
      <w:r w:rsidRPr="006A0359">
        <w:rPr>
          <w:rFonts w:ascii="Times New Roman" w:hAnsi="Times New Roman" w:cs="Times New Roman"/>
          <w:color w:val="000000" w:themeColor="text1"/>
          <w:sz w:val="24"/>
          <w:szCs w:val="24"/>
        </w:rPr>
        <w:t xml:space="preserve"> within the scope of the member's benefit package of health services in accordance with the Prioritized List of Health Services and the terms of the</w:t>
      </w:r>
      <w:r>
        <w:rPr>
          <w:rFonts w:ascii="Times New Roman" w:hAnsi="Times New Roman" w:cs="Times New Roman"/>
          <w:color w:val="000000" w:themeColor="text1"/>
          <w:sz w:val="24"/>
          <w:szCs w:val="24"/>
        </w:rPr>
        <w:t xml:space="preserve"> Coordinated Care Organization (CCO)</w:t>
      </w:r>
      <w:r w:rsidRPr="006A035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w:t>
      </w:r>
      <w:r w:rsidRPr="006A0359">
        <w:rPr>
          <w:rFonts w:ascii="Times New Roman" w:hAnsi="Times New Roman" w:cs="Times New Roman"/>
          <w:color w:val="000000" w:themeColor="text1"/>
          <w:sz w:val="24"/>
          <w:szCs w:val="24"/>
        </w:rPr>
        <w:t xml:space="preserve">ontract </w:t>
      </w:r>
      <w:r>
        <w:rPr>
          <w:rFonts w:ascii="Times New Roman" w:hAnsi="Times New Roman" w:cs="Times New Roman"/>
          <w:color w:val="000000" w:themeColor="text1"/>
          <w:sz w:val="24"/>
          <w:szCs w:val="24"/>
        </w:rPr>
        <w:t>and Oregon Administrative Rules (OAR) 410-141-3820 and 410-141-3835.</w:t>
      </w:r>
    </w:p>
    <w:p w14:paraId="772F78F8" w14:textId="77777777" w:rsidR="00E944D8" w:rsidRDefault="00E944D8" w:rsidP="00E944D8">
      <w:pPr>
        <w:pStyle w:val="NoSpacing"/>
        <w:rPr>
          <w:rFonts w:ascii="Arial" w:hAnsi="Arial" w:cs="Arial"/>
          <w:b/>
          <w:color w:val="00306C"/>
          <w:sz w:val="24"/>
          <w:szCs w:val="24"/>
        </w:rPr>
      </w:pPr>
    </w:p>
    <w:p w14:paraId="3AAC1560" w14:textId="724190AE" w:rsidR="00997FC0" w:rsidRDefault="00997FC0" w:rsidP="00997FC0">
      <w:pPr>
        <w:pStyle w:val="Heading3"/>
        <w:rPr>
          <w:rFonts w:ascii="Arial" w:hAnsi="Arial" w:cs="Arial"/>
          <w:b/>
          <w:color w:val="006892"/>
        </w:rPr>
      </w:pPr>
      <w:r>
        <w:rPr>
          <w:rFonts w:ascii="Arial" w:hAnsi="Arial" w:cs="Arial"/>
          <w:b/>
          <w:color w:val="006892"/>
        </w:rPr>
        <w:t>DEFINITIONS</w:t>
      </w:r>
    </w:p>
    <w:p w14:paraId="2705C7F6" w14:textId="77777777" w:rsidR="00D86783" w:rsidRDefault="00997FC0" w:rsidP="00D86783">
      <w:pPr>
        <w:spacing w:after="0"/>
      </w:pPr>
      <w:r w:rsidRPr="00997FC0">
        <w:rPr>
          <w:rStyle w:val="Heading2Char"/>
        </w:rPr>
        <w:t>Covered Services</w:t>
      </w:r>
      <w:r>
        <w:t xml:space="preserve"> – A medically necessary and appropriate health services and items described in ORS Chapter 414 and applicable administrative rules and the Prioritized List of Health Services above the funding line set by the legislature. Covered services include services that are: </w:t>
      </w:r>
    </w:p>
    <w:p w14:paraId="69BBDDEA" w14:textId="77777777" w:rsidR="00D86783" w:rsidRDefault="00997FC0" w:rsidP="00D86783">
      <w:pPr>
        <w:pStyle w:val="ListParagraph"/>
        <w:numPr>
          <w:ilvl w:val="0"/>
          <w:numId w:val="21"/>
        </w:numPr>
        <w:spacing w:after="0"/>
      </w:pPr>
      <w:r>
        <w:t>Ancillary services (OAR 410-120-0000(22)</w:t>
      </w:r>
      <w:proofErr w:type="gramStart"/>
      <w:r>
        <w:t>);</w:t>
      </w:r>
      <w:proofErr w:type="gramEnd"/>
      <w:r>
        <w:t xml:space="preserve"> </w:t>
      </w:r>
    </w:p>
    <w:p w14:paraId="6457F865" w14:textId="77777777" w:rsidR="00D86783" w:rsidRDefault="00997FC0" w:rsidP="00D86783">
      <w:pPr>
        <w:pStyle w:val="ListParagraph"/>
        <w:numPr>
          <w:ilvl w:val="0"/>
          <w:numId w:val="21"/>
        </w:numPr>
        <w:spacing w:after="0"/>
      </w:pPr>
      <w:r>
        <w:t xml:space="preserve">Diagnostic services necessary to determine the existence, nature, or extent of the client or member’s disease, disorder, disability or </w:t>
      </w:r>
      <w:proofErr w:type="gramStart"/>
      <w:r>
        <w:t>condition;</w:t>
      </w:r>
      <w:proofErr w:type="gramEnd"/>
      <w:r>
        <w:t xml:space="preserve"> </w:t>
      </w:r>
    </w:p>
    <w:p w14:paraId="21F17C53" w14:textId="77777777" w:rsidR="00D86783" w:rsidRDefault="00997FC0" w:rsidP="00D86783">
      <w:pPr>
        <w:pStyle w:val="ListParagraph"/>
        <w:numPr>
          <w:ilvl w:val="0"/>
          <w:numId w:val="21"/>
        </w:numPr>
        <w:spacing w:after="0"/>
      </w:pPr>
      <w:r>
        <w:t xml:space="preserve">Necessary for compliance with the requirements for parity in mental health and substance use disorder benefits in 42 CFR part 438, subpart </w:t>
      </w:r>
      <w:proofErr w:type="gramStart"/>
      <w:r>
        <w:t>k;</w:t>
      </w:r>
      <w:proofErr w:type="gramEnd"/>
      <w:r>
        <w:t xml:space="preserve"> </w:t>
      </w:r>
    </w:p>
    <w:p w14:paraId="58584BA9" w14:textId="2A304FED" w:rsidR="00997FC0" w:rsidRDefault="00997FC0" w:rsidP="00D86783">
      <w:pPr>
        <w:pStyle w:val="ListParagraph"/>
        <w:numPr>
          <w:ilvl w:val="0"/>
          <w:numId w:val="21"/>
        </w:numPr>
        <w:spacing w:after="0"/>
      </w:pPr>
      <w:r>
        <w:t>Necessary for compliance with the requirements for Early and Periodic Screening, Diagnosis and Treatment as specified in the Oregon Health Plan 1115 Demonstration Project (waiver).</w:t>
      </w:r>
    </w:p>
    <w:p w14:paraId="1A770733" w14:textId="77777777" w:rsidR="00D86783" w:rsidRDefault="00D86783" w:rsidP="00D86783">
      <w:pPr>
        <w:pStyle w:val="ListParagraph"/>
        <w:spacing w:after="0"/>
      </w:pPr>
    </w:p>
    <w:p w14:paraId="34BFD3C3" w14:textId="77777777" w:rsidR="00D86783" w:rsidRDefault="00997FC0" w:rsidP="00D86783">
      <w:pPr>
        <w:spacing w:after="0"/>
      </w:pPr>
      <w:r w:rsidRPr="00997FC0">
        <w:rPr>
          <w:rStyle w:val="Heading2Char"/>
        </w:rPr>
        <w:t>Medically Appropriate</w:t>
      </w:r>
      <w:r>
        <w:rPr>
          <w:rStyle w:val="Heading2Char"/>
        </w:rPr>
        <w:t xml:space="preserve"> </w:t>
      </w:r>
      <w:r w:rsidR="006B11F4">
        <w:t>-</w:t>
      </w:r>
      <w:r w:rsidRPr="00997FC0">
        <w:t xml:space="preserve"> A</w:t>
      </w:r>
      <w:r>
        <w:t xml:space="preserve"> health services, items, or medical supplies that are: </w:t>
      </w:r>
    </w:p>
    <w:p w14:paraId="47A88B5C" w14:textId="77777777" w:rsidR="00D86783" w:rsidRDefault="00997FC0" w:rsidP="00D86783">
      <w:pPr>
        <w:pStyle w:val="ListParagraph"/>
        <w:numPr>
          <w:ilvl w:val="0"/>
          <w:numId w:val="20"/>
        </w:numPr>
        <w:spacing w:after="0"/>
      </w:pPr>
      <w:r>
        <w:t xml:space="preserve">Recommended by a licensed health provider practicing within the scope of their </w:t>
      </w:r>
      <w:proofErr w:type="gramStart"/>
      <w:r>
        <w:t>license;</w:t>
      </w:r>
      <w:proofErr w:type="gramEnd"/>
      <w:r>
        <w:t xml:space="preserve"> </w:t>
      </w:r>
    </w:p>
    <w:p w14:paraId="742317D0" w14:textId="77777777" w:rsidR="00D86783" w:rsidRDefault="00997FC0" w:rsidP="00D86783">
      <w:pPr>
        <w:pStyle w:val="ListParagraph"/>
        <w:numPr>
          <w:ilvl w:val="0"/>
          <w:numId w:val="20"/>
        </w:numPr>
        <w:spacing w:after="0"/>
      </w:pPr>
      <w:r>
        <w:t xml:space="preserve">Safe, effective, and appropriate for the patient based on standards of good health practice and generally recognized by the relevant scientific or professional community based on the best available </w:t>
      </w:r>
      <w:proofErr w:type="gramStart"/>
      <w:r>
        <w:t>evidence;</w:t>
      </w:r>
      <w:proofErr w:type="gramEnd"/>
      <w:r>
        <w:t xml:space="preserve"> </w:t>
      </w:r>
    </w:p>
    <w:p w14:paraId="1A5C2639" w14:textId="77777777" w:rsidR="00D86783" w:rsidRDefault="00997FC0" w:rsidP="00D86783">
      <w:pPr>
        <w:pStyle w:val="ListParagraph"/>
        <w:numPr>
          <w:ilvl w:val="0"/>
          <w:numId w:val="20"/>
        </w:numPr>
        <w:spacing w:after="0"/>
      </w:pPr>
      <w:r>
        <w:t xml:space="preserve">Not solely for the convenience or preference of an OHP client, member, or a provider of the service item or medical </w:t>
      </w:r>
      <w:proofErr w:type="gramStart"/>
      <w:r>
        <w:t>supply;</w:t>
      </w:r>
      <w:proofErr w:type="gramEnd"/>
    </w:p>
    <w:p w14:paraId="06F6A0FF" w14:textId="77777777" w:rsidR="00D86783" w:rsidRDefault="00997FC0" w:rsidP="00D86783">
      <w:pPr>
        <w:pStyle w:val="ListParagraph"/>
        <w:numPr>
          <w:ilvl w:val="0"/>
          <w:numId w:val="20"/>
        </w:numPr>
        <w:spacing w:after="0"/>
      </w:pPr>
      <w:r>
        <w:t xml:space="preserve">The most cost effective of the alternative levels or types of health services, items, or medical supplies that are covered services that can be safely and effectively provided to a </w:t>
      </w:r>
      <w:proofErr w:type="gramStart"/>
      <w:r>
        <w:t>Division</w:t>
      </w:r>
      <w:proofErr w:type="gramEnd"/>
      <w:r>
        <w:t xml:space="preserve"> client or member in the Division or MCE’s judgment; </w:t>
      </w:r>
    </w:p>
    <w:p w14:paraId="703F00F9" w14:textId="0DF8D12B" w:rsidR="00997FC0" w:rsidRDefault="00997FC0" w:rsidP="00997FC0">
      <w:pPr>
        <w:pStyle w:val="ListParagraph"/>
        <w:numPr>
          <w:ilvl w:val="0"/>
          <w:numId w:val="20"/>
        </w:numPr>
        <w:spacing w:after="0"/>
      </w:pPr>
      <w:r>
        <w:t>All covered services must be medically appropriate for the member or client, but not all medically appropriate services are covered services.</w:t>
      </w:r>
    </w:p>
    <w:p w14:paraId="1D7D1984" w14:textId="77777777" w:rsidR="00D86783" w:rsidRDefault="00D86783" w:rsidP="00D86783">
      <w:pPr>
        <w:pStyle w:val="ListParagraph"/>
        <w:spacing w:after="0"/>
      </w:pPr>
    </w:p>
    <w:p w14:paraId="3CEE057C" w14:textId="2C13F71F" w:rsidR="006B11F4" w:rsidRDefault="00997FC0" w:rsidP="006B11F4">
      <w:pPr>
        <w:spacing w:after="0"/>
      </w:pPr>
      <w:r w:rsidRPr="006B11F4">
        <w:rPr>
          <w:rStyle w:val="Heading2Char"/>
        </w:rPr>
        <w:lastRenderedPageBreak/>
        <w:t>Medically Necessary</w:t>
      </w:r>
      <w:r w:rsidR="006B11F4">
        <w:t xml:space="preserve"> - A</w:t>
      </w:r>
      <w:r>
        <w:t xml:space="preserve"> health services and items that are required by a client or member to address one or more of the following:</w:t>
      </w:r>
    </w:p>
    <w:p w14:paraId="2F28A581" w14:textId="18639167" w:rsidR="00997FC0" w:rsidRDefault="00997FC0" w:rsidP="006B11F4">
      <w:pPr>
        <w:pStyle w:val="ListParagraph"/>
        <w:numPr>
          <w:ilvl w:val="0"/>
          <w:numId w:val="19"/>
        </w:numPr>
        <w:spacing w:after="0"/>
      </w:pPr>
      <w:r>
        <w:t xml:space="preserve">The prevention, diagnosis, or treatment of a client or member's disease, condition, or disorder that results in health impairments or a </w:t>
      </w:r>
      <w:proofErr w:type="gramStart"/>
      <w:r>
        <w:t>disability;</w:t>
      </w:r>
      <w:proofErr w:type="gramEnd"/>
    </w:p>
    <w:p w14:paraId="5E956303" w14:textId="2F7B263F" w:rsidR="00997FC0" w:rsidRDefault="00997FC0" w:rsidP="006B11F4">
      <w:pPr>
        <w:pStyle w:val="ListParagraph"/>
        <w:numPr>
          <w:ilvl w:val="0"/>
          <w:numId w:val="19"/>
        </w:numPr>
        <w:spacing w:after="0"/>
      </w:pPr>
      <w:r>
        <w:t xml:space="preserve">The ability for a client or member to achieve age-appropriate growth and </w:t>
      </w:r>
      <w:proofErr w:type="gramStart"/>
      <w:r>
        <w:t>development;</w:t>
      </w:r>
      <w:proofErr w:type="gramEnd"/>
    </w:p>
    <w:p w14:paraId="54EDB944" w14:textId="0D88F62F" w:rsidR="00997FC0" w:rsidRDefault="00997FC0" w:rsidP="006B11F4">
      <w:pPr>
        <w:pStyle w:val="ListParagraph"/>
        <w:numPr>
          <w:ilvl w:val="0"/>
          <w:numId w:val="19"/>
        </w:numPr>
      </w:pPr>
      <w:r>
        <w:t>The ability for a client or member to attain, maintain, or regain independence in self-care, ability to perform activities of daily living or improve health status; or</w:t>
      </w:r>
    </w:p>
    <w:p w14:paraId="72B4EE38" w14:textId="77777777" w:rsidR="00D86783" w:rsidRDefault="00997FC0" w:rsidP="00E15260">
      <w:pPr>
        <w:pStyle w:val="ListParagraph"/>
        <w:numPr>
          <w:ilvl w:val="0"/>
          <w:numId w:val="19"/>
        </w:numPr>
      </w:pPr>
      <w:r>
        <w:t xml:space="preserve">The opportunity for a client or member receiving Long Term Services &amp; Supports (LTSS) as defined in these rules to have access to the benefits of non-institutionalized community living, to achieve person centered care goals, and to live and work in the setting of their </w:t>
      </w:r>
      <w:proofErr w:type="gramStart"/>
      <w:r>
        <w:t>choice;</w:t>
      </w:r>
      <w:proofErr w:type="gramEnd"/>
    </w:p>
    <w:p w14:paraId="57BC5C9D" w14:textId="0E9484BD" w:rsidR="00997FC0" w:rsidRPr="00997FC0" w:rsidRDefault="00997FC0" w:rsidP="00E15260">
      <w:pPr>
        <w:pStyle w:val="ListParagraph"/>
        <w:numPr>
          <w:ilvl w:val="0"/>
          <w:numId w:val="19"/>
        </w:numPr>
      </w:pPr>
      <w:r>
        <w:t>A medically necessary service must also be medically appropriate. All covered services must be medically necessary, but not all medically necessary services are covered services.</w:t>
      </w:r>
    </w:p>
    <w:p w14:paraId="1F58ED63" w14:textId="5BE6A746" w:rsidR="00E944D8" w:rsidRDefault="00997FC0" w:rsidP="00997FC0">
      <w:pPr>
        <w:pStyle w:val="Heading3"/>
        <w:rPr>
          <w:rFonts w:ascii="Arial" w:hAnsi="Arial" w:cs="Arial"/>
          <w:b/>
          <w:color w:val="006892"/>
        </w:rPr>
      </w:pPr>
      <w:r>
        <w:rPr>
          <w:rFonts w:ascii="Arial" w:hAnsi="Arial" w:cs="Arial"/>
          <w:b/>
          <w:color w:val="006892"/>
        </w:rPr>
        <w:t>U</w:t>
      </w:r>
      <w:r w:rsidR="00E944D8">
        <w:rPr>
          <w:rFonts w:ascii="Arial" w:hAnsi="Arial" w:cs="Arial"/>
          <w:b/>
          <w:color w:val="006892"/>
        </w:rPr>
        <w:t xml:space="preserve">TLIZATION </w:t>
      </w:r>
      <w:r w:rsidR="00E944D8" w:rsidRPr="00997FC0">
        <w:rPr>
          <w:rFonts w:ascii="Arial" w:eastAsiaTheme="minorHAnsi" w:hAnsi="Arial" w:cs="Arial"/>
          <w:b/>
          <w:color w:val="006892"/>
        </w:rPr>
        <w:t>MANAGEMENT</w:t>
      </w:r>
      <w:r w:rsidR="00E944D8">
        <w:rPr>
          <w:rFonts w:ascii="Arial" w:hAnsi="Arial" w:cs="Arial"/>
          <w:b/>
          <w:color w:val="006892"/>
        </w:rPr>
        <w:t xml:space="preserve"> PROGRAM OVERIVEW</w:t>
      </w:r>
    </w:p>
    <w:p w14:paraId="2016FB61" w14:textId="08271441" w:rsidR="003D0D34" w:rsidRDefault="00E944D8" w:rsidP="003D0D34">
      <w:pPr>
        <w:spacing w:after="0" w:line="240" w:lineRule="auto"/>
        <w:rPr>
          <w:rFonts w:cs="Times New Roman"/>
          <w:szCs w:val="24"/>
        </w:rPr>
      </w:pPr>
      <w:r w:rsidRPr="00E944D8">
        <w:rPr>
          <w:rFonts w:cs="Times New Roman"/>
          <w:szCs w:val="24"/>
        </w:rPr>
        <w:t xml:space="preserve">Utilization </w:t>
      </w:r>
      <w:r>
        <w:rPr>
          <w:rFonts w:cs="Times New Roman"/>
          <w:szCs w:val="24"/>
        </w:rPr>
        <w:t>M</w:t>
      </w:r>
      <w:r w:rsidRPr="00E944D8">
        <w:rPr>
          <w:rFonts w:cs="Times New Roman"/>
          <w:szCs w:val="24"/>
        </w:rPr>
        <w:t xml:space="preserve">anagement (UM) is integrated within the </w:t>
      </w:r>
      <w:r>
        <w:rPr>
          <w:rFonts w:cs="Times New Roman"/>
          <w:szCs w:val="24"/>
        </w:rPr>
        <w:t xml:space="preserve">Medical Management (Care Coordination) teams. </w:t>
      </w:r>
      <w:r w:rsidRPr="00E944D8">
        <w:rPr>
          <w:rFonts w:cs="Times New Roman"/>
          <w:szCs w:val="24"/>
        </w:rPr>
        <w:t xml:space="preserve">The </w:t>
      </w:r>
      <w:r>
        <w:rPr>
          <w:rFonts w:cs="Times New Roman"/>
          <w:szCs w:val="24"/>
        </w:rPr>
        <w:t xml:space="preserve">Directors of Utilization Management, Pharmacy </w:t>
      </w:r>
      <w:r w:rsidRPr="00E944D8">
        <w:rPr>
          <w:rFonts w:cs="Times New Roman"/>
          <w:szCs w:val="24"/>
        </w:rPr>
        <w:t xml:space="preserve">and Care Coordination </w:t>
      </w:r>
      <w:r>
        <w:rPr>
          <w:rFonts w:cs="Times New Roman"/>
          <w:szCs w:val="24"/>
        </w:rPr>
        <w:t>management</w:t>
      </w:r>
      <w:r w:rsidRPr="00E944D8">
        <w:rPr>
          <w:rFonts w:cs="Times New Roman"/>
          <w:szCs w:val="24"/>
        </w:rPr>
        <w:t xml:space="preserve"> oversee the program operations</w:t>
      </w:r>
      <w:r>
        <w:rPr>
          <w:rFonts w:cs="Times New Roman"/>
          <w:szCs w:val="24"/>
        </w:rPr>
        <w:t xml:space="preserve"> under the supervision of the Medical Director</w:t>
      </w:r>
      <w:r w:rsidRPr="00E944D8">
        <w:rPr>
          <w:rFonts w:cs="Times New Roman"/>
          <w:szCs w:val="24"/>
        </w:rPr>
        <w:t xml:space="preserve">. </w:t>
      </w:r>
      <w:r w:rsidR="003D0D34" w:rsidRPr="003D0D34">
        <w:rPr>
          <w:rFonts w:cs="Times New Roman"/>
          <w:szCs w:val="24"/>
        </w:rPr>
        <w:t xml:space="preserve">Umpqua Health Alliance (UHA) provides </w:t>
      </w:r>
      <w:r w:rsidR="003D0D34">
        <w:rPr>
          <w:rFonts w:cs="Times New Roman"/>
          <w:szCs w:val="24"/>
        </w:rPr>
        <w:t xml:space="preserve">utilization review in accordance with the </w:t>
      </w:r>
      <w:r w:rsidR="003D0D34" w:rsidRPr="000E42AC">
        <w:rPr>
          <w:rFonts w:cs="Times New Roman"/>
          <w:color w:val="000000" w:themeColor="text1"/>
          <w:szCs w:val="24"/>
        </w:rPr>
        <w:t>policies, procedures, and criteria for covered services</w:t>
      </w:r>
      <w:r w:rsidR="003D0D34">
        <w:rPr>
          <w:rFonts w:cs="Times New Roman"/>
          <w:color w:val="000000" w:themeColor="text1"/>
          <w:szCs w:val="24"/>
        </w:rPr>
        <w:t xml:space="preserve"> </w:t>
      </w:r>
      <w:r w:rsidR="003D0D34" w:rsidRPr="000E42AC">
        <w:rPr>
          <w:rFonts w:cs="Times New Roman"/>
          <w:color w:val="000000" w:themeColor="text1"/>
          <w:szCs w:val="24"/>
        </w:rPr>
        <w:t xml:space="preserve">that comply with </w:t>
      </w:r>
      <w:r w:rsidR="003D0D34">
        <w:rPr>
          <w:rFonts w:cs="Times New Roman"/>
          <w:color w:val="000000" w:themeColor="text1"/>
          <w:szCs w:val="24"/>
        </w:rPr>
        <w:t>state and federal requirements (</w:t>
      </w:r>
      <w:r w:rsidR="003D0D34" w:rsidRPr="000E42AC">
        <w:rPr>
          <w:rFonts w:cs="Times New Roman"/>
          <w:color w:val="000000" w:themeColor="text1"/>
          <w:szCs w:val="24"/>
        </w:rPr>
        <w:t>42 CFR §438.210 and OAR 410-141-3835</w:t>
      </w:r>
      <w:r w:rsidR="003D0D34">
        <w:rPr>
          <w:rFonts w:cs="Times New Roman"/>
          <w:color w:val="000000" w:themeColor="text1"/>
          <w:szCs w:val="24"/>
        </w:rPr>
        <w:t>)</w:t>
      </w:r>
      <w:r w:rsidR="003D0D34" w:rsidRPr="000E42AC">
        <w:rPr>
          <w:rFonts w:cs="Times New Roman"/>
          <w:color w:val="000000" w:themeColor="text1"/>
          <w:szCs w:val="24"/>
        </w:rPr>
        <w:t xml:space="preserve"> to ensure consistent application of review criteria for authorization decisions.</w:t>
      </w:r>
      <w:r w:rsidR="003D0D34">
        <w:rPr>
          <w:rFonts w:cs="Times New Roman"/>
          <w:color w:val="000000" w:themeColor="text1"/>
          <w:szCs w:val="24"/>
        </w:rPr>
        <w:t xml:space="preserve"> Such reviews ensure </w:t>
      </w:r>
      <w:r w:rsidR="003D0D34" w:rsidRPr="003D0D34">
        <w:rPr>
          <w:rFonts w:cs="Times New Roman"/>
          <w:szCs w:val="24"/>
        </w:rPr>
        <w:t>medically appropriate, cost-effective health services within the scope of the member's benefit package of health services in accordance with the Prioritized List of Health Services and the terms of the Coordinated Care Organization (CCO) Contract and Oregon Administrative Rules (OAR) 410-141-3820 and 410-141-3835.</w:t>
      </w:r>
    </w:p>
    <w:p w14:paraId="6FDE7FAA" w14:textId="172513CF" w:rsidR="003D0D34" w:rsidRDefault="003D0D34" w:rsidP="005E5EB3">
      <w:pPr>
        <w:spacing w:after="0"/>
        <w:rPr>
          <w:rFonts w:cs="Times New Roman"/>
          <w:szCs w:val="24"/>
        </w:rPr>
      </w:pPr>
    </w:p>
    <w:p w14:paraId="19475186" w14:textId="657D8A91" w:rsidR="000B7569" w:rsidRDefault="000B7569" w:rsidP="000B7569">
      <w:pPr>
        <w:pStyle w:val="NoSpacing"/>
        <w:rPr>
          <w:rFonts w:ascii="Times New Roman" w:hAnsi="Times New Roman" w:cs="Times New Roman"/>
          <w:color w:val="000000" w:themeColor="text1"/>
          <w:sz w:val="24"/>
          <w:szCs w:val="24"/>
        </w:rPr>
      </w:pPr>
      <w:r w:rsidRPr="000B7569">
        <w:rPr>
          <w:rFonts w:ascii="Times New Roman" w:hAnsi="Times New Roman" w:cs="Times New Roman"/>
          <w:color w:val="000000" w:themeColor="text1"/>
          <w:sz w:val="24"/>
          <w:szCs w:val="24"/>
        </w:rPr>
        <w:t>UHA has processes in place to provide covered services outlined in the contract that are no less than the amount, duration, and scope of the same services to beneficiaries under Fee-For-Service (FFS) Medicaid, and for members under the age of 21. UHA ensures that the services are sufficient in amount, duration, or scope to reasonably achieve the purpose for which the services are furnished. UHA does not arbitrarily deny or reduce the amount, duration, or scope of a required service solely because of diagnosis, type of illness, or condition of the beneficiary.</w:t>
      </w:r>
    </w:p>
    <w:p w14:paraId="1C39B7A4" w14:textId="77777777" w:rsidR="000B7569" w:rsidRPr="000B7569" w:rsidRDefault="000B7569" w:rsidP="000B7569">
      <w:pPr>
        <w:pStyle w:val="NoSpacing"/>
        <w:rPr>
          <w:rFonts w:ascii="Times New Roman" w:hAnsi="Times New Roman" w:cs="Times New Roman"/>
          <w:color w:val="000000" w:themeColor="text1"/>
          <w:sz w:val="24"/>
          <w:szCs w:val="24"/>
        </w:rPr>
      </w:pPr>
    </w:p>
    <w:p w14:paraId="52AF3B52" w14:textId="07389DD3" w:rsidR="000B7569" w:rsidRDefault="000B7569" w:rsidP="000B7569">
      <w:pPr>
        <w:pStyle w:val="NoSpacing"/>
        <w:rPr>
          <w:rFonts w:ascii="Times New Roman" w:hAnsi="Times New Roman" w:cs="Times New Roman"/>
          <w:color w:val="000000" w:themeColor="text1"/>
          <w:sz w:val="24"/>
          <w:szCs w:val="24"/>
        </w:rPr>
      </w:pPr>
      <w:r w:rsidRPr="000B7569">
        <w:rPr>
          <w:rFonts w:ascii="Times New Roman" w:hAnsi="Times New Roman" w:cs="Times New Roman"/>
          <w:color w:val="000000" w:themeColor="text1"/>
          <w:sz w:val="24"/>
          <w:szCs w:val="24"/>
        </w:rPr>
        <w:t>A request for services is required in order to determine, prior to delivery of care, if the requested service is part of the benefit plan and it meets the OHP coverage criteria. Prior Authorization (PA) requests will be addressed in a timely manner. Routine requests should be received by Umpqua Health Alliance (UHA) at least two (2) weeks before a planned service is scheduled. This allows time for UHA to process the PA and review pertinent medical information critical to the decision-making process. A copy of the Member’s chart notes, lab and/or x-ray tests, and any other pertinent facts should accompany the original request.</w:t>
      </w:r>
    </w:p>
    <w:p w14:paraId="303467C4" w14:textId="77777777" w:rsidR="000B7569" w:rsidRDefault="000B7569" w:rsidP="000B7569">
      <w:pPr>
        <w:pStyle w:val="NoSpacing"/>
        <w:rPr>
          <w:rFonts w:ascii="Times New Roman" w:eastAsia="Times New Roman" w:hAnsi="Times New Roman" w:cs="Times New Roman"/>
          <w:sz w:val="24"/>
          <w:szCs w:val="24"/>
        </w:rPr>
      </w:pPr>
    </w:p>
    <w:p w14:paraId="22F8BD71" w14:textId="3E454D55" w:rsidR="000B7569" w:rsidRDefault="00107E2E" w:rsidP="000B7569">
      <w:pPr>
        <w:spacing w:after="0"/>
        <w:rPr>
          <w:rFonts w:eastAsia="Times New Roman" w:cs="Times New Roman"/>
          <w:szCs w:val="24"/>
        </w:rPr>
      </w:pPr>
      <w:r>
        <w:rPr>
          <w:rFonts w:eastAsia="Times New Roman" w:cs="Times New Roman"/>
          <w:szCs w:val="24"/>
        </w:rPr>
        <w:lastRenderedPageBreak/>
        <w:t xml:space="preserve">UHA </w:t>
      </w:r>
      <w:r w:rsidRPr="00107E2E">
        <w:rPr>
          <w:rFonts w:eastAsia="Times New Roman" w:cs="Times New Roman"/>
          <w:szCs w:val="24"/>
        </w:rPr>
        <w:t>is not structured so as to provide incentives for the individual</w:t>
      </w:r>
      <w:r>
        <w:rPr>
          <w:rFonts w:eastAsia="Times New Roman" w:cs="Times New Roman"/>
          <w:szCs w:val="24"/>
        </w:rPr>
        <w:t xml:space="preserve">s </w:t>
      </w:r>
      <w:r w:rsidRPr="00107E2E">
        <w:rPr>
          <w:rFonts w:eastAsia="Times New Roman" w:cs="Times New Roman"/>
          <w:szCs w:val="24"/>
        </w:rPr>
        <w:t>or entities that conduct utilization management activities to deny, limit, or discontinue medically necessary services to any member.</w:t>
      </w:r>
    </w:p>
    <w:p w14:paraId="03B484B5" w14:textId="77777777" w:rsidR="00107E2E" w:rsidRDefault="00107E2E" w:rsidP="000B7569">
      <w:pPr>
        <w:spacing w:after="0"/>
        <w:rPr>
          <w:rFonts w:cs="Times New Roman"/>
          <w:szCs w:val="24"/>
        </w:rPr>
      </w:pPr>
    </w:p>
    <w:p w14:paraId="3B885066" w14:textId="518082E0" w:rsidR="000B7569" w:rsidRDefault="000B7569" w:rsidP="000B7569">
      <w:pPr>
        <w:pStyle w:val="NoSpacing"/>
        <w:rPr>
          <w:rFonts w:ascii="Times New Roman" w:hAnsi="Times New Roman" w:cs="Times New Roman"/>
          <w:color w:val="000000" w:themeColor="text1"/>
          <w:sz w:val="24"/>
          <w:szCs w:val="24"/>
        </w:rPr>
      </w:pPr>
      <w:r w:rsidRPr="003D0D34">
        <w:rPr>
          <w:rFonts w:ascii="Times New Roman" w:hAnsi="Times New Roman" w:cs="Times New Roman"/>
          <w:color w:val="000000" w:themeColor="text1"/>
          <w:sz w:val="24"/>
          <w:szCs w:val="24"/>
        </w:rPr>
        <w:t>UHA shall maintain and ensure that its clinical providers maintain documentation that meets the standards specified in OAR 410-172-0620 (documentation standards), OAR 309-019-0135 (assessment) and OAR 309-019- 0140 (service plan and notes). These record-keeping requirements shall apply regardless of clinic provider’s licensure or certification status. Compliance with these clinical documentation standards is an express condition of payment under the Provider Network Agreement and t</w:t>
      </w:r>
      <w:r>
        <w:rPr>
          <w:rFonts w:ascii="Times New Roman" w:hAnsi="Times New Roman" w:cs="Times New Roman"/>
          <w:color w:val="000000" w:themeColor="text1"/>
          <w:sz w:val="24"/>
          <w:szCs w:val="24"/>
        </w:rPr>
        <w:t xml:space="preserve">he </w:t>
      </w:r>
      <w:r w:rsidRPr="003D0D34">
        <w:rPr>
          <w:rFonts w:ascii="Times New Roman" w:hAnsi="Times New Roman" w:cs="Times New Roman"/>
          <w:color w:val="000000" w:themeColor="text1"/>
          <w:sz w:val="24"/>
          <w:szCs w:val="24"/>
        </w:rPr>
        <w:t xml:space="preserve">Oregon Health Plan (OHP) Plan Addendum. </w:t>
      </w:r>
    </w:p>
    <w:p w14:paraId="4A299F38" w14:textId="39CE0B00" w:rsidR="000B7569" w:rsidRDefault="000B7569" w:rsidP="000B7569">
      <w:pPr>
        <w:pStyle w:val="NoSpacing"/>
        <w:rPr>
          <w:rFonts w:ascii="Times New Roman" w:hAnsi="Times New Roman" w:cs="Times New Roman"/>
          <w:color w:val="000000" w:themeColor="text1"/>
          <w:sz w:val="24"/>
          <w:szCs w:val="24"/>
        </w:rPr>
      </w:pPr>
    </w:p>
    <w:p w14:paraId="349F218A" w14:textId="2B92C25C" w:rsidR="00664757" w:rsidRDefault="000B7569" w:rsidP="000B7569">
      <w:pPr>
        <w:pStyle w:val="NoSpacing"/>
        <w:rPr>
          <w:rFonts w:ascii="Times New Roman" w:hAnsi="Times New Roman" w:cs="Times New Roman"/>
          <w:color w:val="000000" w:themeColor="text1"/>
          <w:sz w:val="24"/>
          <w:szCs w:val="24"/>
        </w:rPr>
      </w:pPr>
      <w:r w:rsidRPr="000B7569">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 authorization</w:t>
      </w:r>
      <w:r w:rsidRPr="000B7569">
        <w:rPr>
          <w:rFonts w:ascii="Times New Roman" w:hAnsi="Times New Roman" w:cs="Times New Roman"/>
          <w:color w:val="000000" w:themeColor="text1"/>
          <w:sz w:val="24"/>
          <w:szCs w:val="24"/>
        </w:rPr>
        <w:t xml:space="preserve"> does not guarantee benefits. The actual claim may be rejected for reasons such as the care provided differs from the care that was pre-authorized. Payment for care that has been pre-authorized will not be </w:t>
      </w:r>
      <w:r w:rsidR="00EE1766" w:rsidRPr="000B7569">
        <w:rPr>
          <w:rFonts w:ascii="Times New Roman" w:hAnsi="Times New Roman" w:cs="Times New Roman"/>
          <w:color w:val="000000" w:themeColor="text1"/>
          <w:sz w:val="24"/>
          <w:szCs w:val="24"/>
        </w:rPr>
        <w:t>denied.</w:t>
      </w:r>
    </w:p>
    <w:p w14:paraId="3088C8CE" w14:textId="22BC809F" w:rsidR="000B7569" w:rsidRPr="003D0D34" w:rsidRDefault="000B7569" w:rsidP="000B7569">
      <w:pPr>
        <w:pStyle w:val="NoSpacing"/>
        <w:rPr>
          <w:rFonts w:ascii="Times New Roman" w:hAnsi="Times New Roman" w:cs="Times New Roman"/>
          <w:color w:val="000000" w:themeColor="text1"/>
          <w:sz w:val="24"/>
          <w:szCs w:val="24"/>
        </w:rPr>
      </w:pPr>
      <w:r w:rsidRPr="000B7569">
        <w:rPr>
          <w:rFonts w:ascii="Times New Roman" w:hAnsi="Times New Roman" w:cs="Times New Roman"/>
          <w:color w:val="000000" w:themeColor="text1"/>
          <w:sz w:val="24"/>
          <w:szCs w:val="24"/>
        </w:rPr>
        <w:t xml:space="preserve"> on the basis of medical necessity unless critical information was not given at the time of authorization (i.e., Member was given an experimental or investigational treatment that was not clearly stated in the authorization process.) If the Member has lost eligibility, the claim will not be paid regardless of </w:t>
      </w:r>
      <w:r>
        <w:rPr>
          <w:rFonts w:ascii="Times New Roman" w:hAnsi="Times New Roman" w:cs="Times New Roman"/>
          <w:color w:val="000000" w:themeColor="text1"/>
          <w:sz w:val="24"/>
          <w:szCs w:val="24"/>
        </w:rPr>
        <w:t>an approved authorization</w:t>
      </w:r>
      <w:r w:rsidRPr="000B7569">
        <w:rPr>
          <w:rFonts w:ascii="Times New Roman" w:hAnsi="Times New Roman" w:cs="Times New Roman"/>
          <w:color w:val="000000" w:themeColor="text1"/>
          <w:sz w:val="24"/>
          <w:szCs w:val="24"/>
        </w:rPr>
        <w:t>.</w:t>
      </w:r>
    </w:p>
    <w:p w14:paraId="220B501E" w14:textId="1D336BE1" w:rsidR="000B7569" w:rsidRDefault="000B7569" w:rsidP="000B7569">
      <w:pPr>
        <w:pStyle w:val="NoSpacing"/>
        <w:rPr>
          <w:rFonts w:ascii="Times New Roman" w:hAnsi="Times New Roman" w:cs="Times New Roman"/>
          <w:color w:val="000000" w:themeColor="text1"/>
          <w:sz w:val="24"/>
          <w:szCs w:val="24"/>
        </w:rPr>
      </w:pPr>
    </w:p>
    <w:p w14:paraId="584864F5" w14:textId="03BF727C" w:rsidR="00315C45" w:rsidRPr="00315C45" w:rsidRDefault="00315C45" w:rsidP="00315C45">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UHA</w:t>
      </w:r>
      <w:r w:rsidRPr="00315C45">
        <w:rPr>
          <w:rFonts w:ascii="Times New Roman" w:hAnsi="Times New Roman" w:cs="Times New Roman"/>
          <w:color w:val="000000" w:themeColor="text1"/>
          <w:sz w:val="24"/>
          <w:szCs w:val="24"/>
        </w:rPr>
        <w:t xml:space="preserve"> constitutes medically necessary covered services and administers the services in a manner that:</w:t>
      </w:r>
    </w:p>
    <w:p w14:paraId="6C55E2D1" w14:textId="40BB3A4C" w:rsidR="00315C45" w:rsidRPr="00315C45" w:rsidRDefault="00315C45" w:rsidP="00F648F9">
      <w:pPr>
        <w:pStyle w:val="NoSpacing"/>
        <w:numPr>
          <w:ilvl w:val="0"/>
          <w:numId w:val="15"/>
        </w:numPr>
        <w:rPr>
          <w:rFonts w:ascii="Times New Roman" w:hAnsi="Times New Roman" w:cs="Times New Roman"/>
          <w:color w:val="000000" w:themeColor="text1"/>
          <w:sz w:val="24"/>
          <w:szCs w:val="24"/>
        </w:rPr>
      </w:pPr>
      <w:r w:rsidRPr="00315C45">
        <w:rPr>
          <w:rFonts w:ascii="Times New Roman" w:hAnsi="Times New Roman" w:cs="Times New Roman"/>
          <w:color w:val="000000" w:themeColor="text1"/>
          <w:sz w:val="24"/>
          <w:szCs w:val="24"/>
        </w:rPr>
        <w:t xml:space="preserve">Is no more restrictive than that used in the State Medicaid program, including quantitative and non-quantitative limits (as indicated in other State policies, </w:t>
      </w:r>
      <w:r w:rsidR="00EE1766" w:rsidRPr="00315C45">
        <w:rPr>
          <w:rFonts w:ascii="Times New Roman" w:hAnsi="Times New Roman" w:cs="Times New Roman"/>
          <w:color w:val="000000" w:themeColor="text1"/>
          <w:sz w:val="24"/>
          <w:szCs w:val="24"/>
        </w:rPr>
        <w:t>procedures,</w:t>
      </w:r>
      <w:r w:rsidRPr="00315C45">
        <w:rPr>
          <w:rFonts w:ascii="Times New Roman" w:hAnsi="Times New Roman" w:cs="Times New Roman"/>
          <w:color w:val="000000" w:themeColor="text1"/>
          <w:sz w:val="24"/>
          <w:szCs w:val="24"/>
        </w:rPr>
        <w:t xml:space="preserve"> and administrative rules).</w:t>
      </w:r>
    </w:p>
    <w:p w14:paraId="35EB67A2" w14:textId="6AE874C9" w:rsidR="00315C45" w:rsidRPr="00315C45" w:rsidRDefault="00315C45" w:rsidP="00F648F9">
      <w:pPr>
        <w:pStyle w:val="NoSpacing"/>
        <w:numPr>
          <w:ilvl w:val="0"/>
          <w:numId w:val="15"/>
        </w:numPr>
        <w:rPr>
          <w:rFonts w:ascii="Times New Roman" w:hAnsi="Times New Roman" w:cs="Times New Roman"/>
          <w:color w:val="000000" w:themeColor="text1"/>
          <w:sz w:val="24"/>
          <w:szCs w:val="24"/>
        </w:rPr>
      </w:pPr>
      <w:r w:rsidRPr="00315C45">
        <w:rPr>
          <w:rFonts w:ascii="Times New Roman" w:hAnsi="Times New Roman" w:cs="Times New Roman"/>
          <w:color w:val="000000" w:themeColor="text1"/>
          <w:sz w:val="24"/>
          <w:szCs w:val="24"/>
        </w:rPr>
        <w:t>Considers and addresses the following:</w:t>
      </w:r>
    </w:p>
    <w:p w14:paraId="22F3877F" w14:textId="1EA5814C" w:rsidR="00315C45" w:rsidRPr="00315C45" w:rsidRDefault="00315C45" w:rsidP="00F648F9">
      <w:pPr>
        <w:pStyle w:val="NoSpacing"/>
        <w:numPr>
          <w:ilvl w:val="1"/>
          <w:numId w:val="15"/>
        </w:numPr>
        <w:rPr>
          <w:rFonts w:ascii="Times New Roman" w:hAnsi="Times New Roman" w:cs="Times New Roman"/>
          <w:color w:val="000000" w:themeColor="text1"/>
          <w:sz w:val="24"/>
          <w:szCs w:val="24"/>
        </w:rPr>
      </w:pPr>
      <w:r w:rsidRPr="00315C45">
        <w:rPr>
          <w:rFonts w:ascii="Times New Roman" w:hAnsi="Times New Roman" w:cs="Times New Roman"/>
          <w:color w:val="000000" w:themeColor="text1"/>
          <w:sz w:val="24"/>
          <w:szCs w:val="24"/>
        </w:rPr>
        <w:t>The prevention, diagnosis, and treatment of a member’s disease, condition, and/or disorder that results in health impairments and/or disability.</w:t>
      </w:r>
    </w:p>
    <w:p w14:paraId="73A1DE36" w14:textId="1D0C5D37" w:rsidR="00315C45" w:rsidRPr="00315C45" w:rsidRDefault="00315C45" w:rsidP="00F648F9">
      <w:pPr>
        <w:pStyle w:val="NoSpacing"/>
        <w:numPr>
          <w:ilvl w:val="1"/>
          <w:numId w:val="15"/>
        </w:numPr>
        <w:rPr>
          <w:rFonts w:ascii="Times New Roman" w:hAnsi="Times New Roman" w:cs="Times New Roman"/>
          <w:color w:val="000000" w:themeColor="text1"/>
          <w:sz w:val="24"/>
          <w:szCs w:val="24"/>
        </w:rPr>
      </w:pPr>
      <w:r w:rsidRPr="00315C45">
        <w:rPr>
          <w:rFonts w:ascii="Times New Roman" w:hAnsi="Times New Roman" w:cs="Times New Roman"/>
          <w:color w:val="000000" w:themeColor="text1"/>
          <w:sz w:val="24"/>
          <w:szCs w:val="24"/>
        </w:rPr>
        <w:t>The ability for a member to achieve age-appropriate growth and development.</w:t>
      </w:r>
    </w:p>
    <w:p w14:paraId="23D6BDF9" w14:textId="7E60D102" w:rsidR="00315C45" w:rsidRPr="00315C45" w:rsidRDefault="00315C45" w:rsidP="00F648F9">
      <w:pPr>
        <w:pStyle w:val="NoSpacing"/>
        <w:numPr>
          <w:ilvl w:val="1"/>
          <w:numId w:val="15"/>
        </w:numPr>
        <w:rPr>
          <w:rFonts w:ascii="Times New Roman" w:hAnsi="Times New Roman" w:cs="Times New Roman"/>
          <w:color w:val="000000" w:themeColor="text1"/>
          <w:sz w:val="24"/>
          <w:szCs w:val="24"/>
        </w:rPr>
      </w:pPr>
      <w:r w:rsidRPr="00315C45">
        <w:rPr>
          <w:rFonts w:ascii="Times New Roman" w:hAnsi="Times New Roman" w:cs="Times New Roman"/>
          <w:color w:val="000000" w:themeColor="text1"/>
          <w:sz w:val="24"/>
          <w:szCs w:val="24"/>
        </w:rPr>
        <w:t>The ability for a member to attain, maintain, or regain functional capacity.</w:t>
      </w:r>
    </w:p>
    <w:p w14:paraId="58BE498A" w14:textId="633F253F" w:rsidR="00315C45" w:rsidRDefault="00315C45" w:rsidP="00F648F9">
      <w:pPr>
        <w:pStyle w:val="NoSpacing"/>
        <w:numPr>
          <w:ilvl w:val="1"/>
          <w:numId w:val="15"/>
        </w:numPr>
        <w:rPr>
          <w:rFonts w:ascii="Times New Roman" w:hAnsi="Times New Roman" w:cs="Times New Roman"/>
          <w:color w:val="000000" w:themeColor="text1"/>
          <w:sz w:val="24"/>
          <w:szCs w:val="24"/>
        </w:rPr>
      </w:pPr>
      <w:r w:rsidRPr="00315C45">
        <w:rPr>
          <w:rFonts w:ascii="Times New Roman" w:hAnsi="Times New Roman" w:cs="Times New Roman"/>
          <w:color w:val="000000" w:themeColor="text1"/>
          <w:sz w:val="24"/>
          <w:szCs w:val="24"/>
        </w:rPr>
        <w:t>The opportunity for a member receiving long-term services and supports to have access to the benefits of community living, to achieve person centered goals, and live and work in the setting of their choice.</w:t>
      </w:r>
    </w:p>
    <w:p w14:paraId="0EA00B01" w14:textId="77777777" w:rsidR="00315C45" w:rsidRPr="000B7569" w:rsidRDefault="00315C45" w:rsidP="00315C45">
      <w:pPr>
        <w:pStyle w:val="NoSpacing"/>
        <w:rPr>
          <w:rFonts w:ascii="Times New Roman" w:hAnsi="Times New Roman" w:cs="Times New Roman"/>
          <w:color w:val="000000" w:themeColor="text1"/>
          <w:sz w:val="24"/>
          <w:szCs w:val="24"/>
        </w:rPr>
      </w:pPr>
    </w:p>
    <w:p w14:paraId="5142B243" w14:textId="19BD4D4B" w:rsidR="003D0D34" w:rsidRDefault="003D0D34" w:rsidP="00997FC0">
      <w:pPr>
        <w:pStyle w:val="Heading3"/>
        <w:rPr>
          <w:rFonts w:ascii="Arial" w:hAnsi="Arial" w:cs="Arial"/>
          <w:b/>
          <w:color w:val="006892"/>
        </w:rPr>
      </w:pPr>
      <w:r>
        <w:rPr>
          <w:rFonts w:ascii="Arial" w:hAnsi="Arial" w:cs="Arial"/>
          <w:b/>
          <w:color w:val="006892"/>
        </w:rPr>
        <w:t>PRIOR AUTHORIZATION REQUIREMENTS</w:t>
      </w:r>
    </w:p>
    <w:p w14:paraId="382E2982" w14:textId="5C80AD04" w:rsidR="003D0D34" w:rsidRDefault="003D0D34" w:rsidP="003D0D34">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Prior authorization requirements </w:t>
      </w:r>
      <w:r w:rsidR="00E80D83">
        <w:rPr>
          <w:rFonts w:ascii="Times New Roman" w:hAnsi="Times New Roman" w:cs="Times New Roman"/>
          <w:color w:val="000000" w:themeColor="text1"/>
          <w:sz w:val="24"/>
          <w:szCs w:val="24"/>
        </w:rPr>
        <w:t xml:space="preserve">(PA) </w:t>
      </w:r>
      <w:r>
        <w:rPr>
          <w:rFonts w:ascii="Times New Roman" w:hAnsi="Times New Roman" w:cs="Times New Roman"/>
          <w:color w:val="000000" w:themeColor="text1"/>
          <w:sz w:val="24"/>
          <w:szCs w:val="24"/>
        </w:rPr>
        <w:t xml:space="preserve">are listed within the PA Grid as posted on UHA’s prior authorization website. </w:t>
      </w:r>
      <w:r w:rsidR="004F1215">
        <w:rPr>
          <w:rFonts w:ascii="Times New Roman" w:hAnsi="Times New Roman" w:cs="Times New Roman"/>
          <w:color w:val="000000" w:themeColor="text1"/>
          <w:sz w:val="24"/>
          <w:szCs w:val="24"/>
        </w:rPr>
        <w:t xml:space="preserve">Emergency services do not require a </w:t>
      </w:r>
      <w:r w:rsidR="00E80D83">
        <w:rPr>
          <w:rFonts w:ascii="Times New Roman" w:hAnsi="Times New Roman" w:cs="Times New Roman"/>
          <w:color w:val="000000" w:themeColor="text1"/>
          <w:sz w:val="24"/>
          <w:szCs w:val="24"/>
        </w:rPr>
        <w:t xml:space="preserve">PA. </w:t>
      </w:r>
    </w:p>
    <w:p w14:paraId="1A91D53E" w14:textId="67AE66CA" w:rsidR="00EB7708" w:rsidRDefault="00EB7708" w:rsidP="003D0D34">
      <w:pPr>
        <w:pStyle w:val="NoSpacing"/>
        <w:rPr>
          <w:rFonts w:ascii="Times New Roman" w:hAnsi="Times New Roman" w:cs="Times New Roman"/>
          <w:color w:val="000000" w:themeColor="text1"/>
          <w:sz w:val="24"/>
          <w:szCs w:val="24"/>
        </w:rPr>
      </w:pPr>
    </w:p>
    <w:p w14:paraId="277B2881" w14:textId="0B535735" w:rsidR="00EB7708" w:rsidRPr="003D0D34" w:rsidRDefault="00EB7708" w:rsidP="00EB7708">
      <w:pPr>
        <w:pStyle w:val="NoSpacing"/>
        <w:rPr>
          <w:rFonts w:ascii="Times New Roman" w:hAnsi="Times New Roman" w:cs="Times New Roman"/>
          <w:color w:val="000000" w:themeColor="text1"/>
          <w:sz w:val="24"/>
          <w:szCs w:val="24"/>
        </w:rPr>
      </w:pPr>
      <w:r w:rsidRPr="003D0D34">
        <w:rPr>
          <w:rFonts w:ascii="Times New Roman" w:hAnsi="Times New Roman" w:cs="Times New Roman"/>
          <w:color w:val="000000" w:themeColor="text1"/>
          <w:sz w:val="24"/>
          <w:szCs w:val="24"/>
        </w:rPr>
        <w:t>All PA decisions for medical, pharmacy, dental, and behavioral health services are conducted by qualified healthcare professionals that have the necessary training and expertise to make authorization decisions</w:t>
      </w:r>
      <w:r>
        <w:rPr>
          <w:rFonts w:ascii="Times New Roman" w:hAnsi="Times New Roman" w:cs="Times New Roman"/>
          <w:color w:val="000000" w:themeColor="text1"/>
          <w:sz w:val="24"/>
          <w:szCs w:val="24"/>
        </w:rPr>
        <w:t>. F</w:t>
      </w:r>
      <w:r w:rsidRPr="003D0D34">
        <w:rPr>
          <w:rFonts w:ascii="Times New Roman" w:hAnsi="Times New Roman" w:cs="Times New Roman"/>
          <w:color w:val="000000" w:themeColor="text1"/>
          <w:sz w:val="24"/>
          <w:szCs w:val="24"/>
        </w:rPr>
        <w:t xml:space="preserve">or more information refer to UHA policy CE05 – </w:t>
      </w:r>
      <w:r w:rsidR="009F2E27">
        <w:rPr>
          <w:rFonts w:ascii="Times New Roman" w:hAnsi="Times New Roman" w:cs="Times New Roman"/>
          <w:color w:val="000000" w:themeColor="text1"/>
          <w:sz w:val="24"/>
          <w:szCs w:val="24"/>
        </w:rPr>
        <w:t>Utilization</w:t>
      </w:r>
      <w:r w:rsidRPr="003D0D34">
        <w:rPr>
          <w:rFonts w:ascii="Times New Roman" w:hAnsi="Times New Roman" w:cs="Times New Roman"/>
          <w:color w:val="000000" w:themeColor="text1"/>
          <w:sz w:val="24"/>
          <w:szCs w:val="24"/>
        </w:rPr>
        <w:t xml:space="preserve"> Review. </w:t>
      </w:r>
    </w:p>
    <w:p w14:paraId="18651324" w14:textId="77777777" w:rsidR="00EB7708" w:rsidRDefault="00EB7708" w:rsidP="00EB7708">
      <w:pPr>
        <w:pStyle w:val="NoSpacing"/>
        <w:rPr>
          <w:rFonts w:ascii="Times New Roman" w:hAnsi="Times New Roman" w:cs="Times New Roman"/>
          <w:color w:val="000000" w:themeColor="text1"/>
          <w:sz w:val="24"/>
          <w:szCs w:val="24"/>
        </w:rPr>
      </w:pPr>
    </w:p>
    <w:p w14:paraId="71B7A319" w14:textId="77777777" w:rsidR="00EB7708" w:rsidRPr="003D0D34" w:rsidRDefault="00EB7708" w:rsidP="00EB7708">
      <w:pPr>
        <w:pStyle w:val="NoSpacing"/>
        <w:rPr>
          <w:rFonts w:ascii="Times New Roman" w:hAnsi="Times New Roman" w:cs="Times New Roman"/>
          <w:color w:val="000000" w:themeColor="text1"/>
          <w:sz w:val="24"/>
          <w:szCs w:val="24"/>
        </w:rPr>
      </w:pPr>
      <w:bookmarkStart w:id="1" w:name="_Hlk121745010"/>
      <w:r w:rsidRPr="003D0D34">
        <w:rPr>
          <w:rFonts w:ascii="Times New Roman" w:hAnsi="Times New Roman" w:cs="Times New Roman"/>
          <w:color w:val="000000" w:themeColor="text1"/>
          <w:sz w:val="24"/>
          <w:szCs w:val="24"/>
        </w:rPr>
        <w:t>UHA may not authorize services under the following circumstances:</w:t>
      </w:r>
    </w:p>
    <w:p w14:paraId="2CF8DEAF" w14:textId="3128F607" w:rsidR="00EB7708" w:rsidRPr="003D0D34" w:rsidRDefault="00EB7708" w:rsidP="00F648F9">
      <w:pPr>
        <w:pStyle w:val="NoSpacing"/>
        <w:numPr>
          <w:ilvl w:val="0"/>
          <w:numId w:val="5"/>
        </w:numPr>
        <w:rPr>
          <w:rFonts w:ascii="Times New Roman" w:hAnsi="Times New Roman" w:cs="Times New Roman"/>
          <w:color w:val="000000" w:themeColor="text1"/>
          <w:sz w:val="24"/>
          <w:szCs w:val="24"/>
        </w:rPr>
      </w:pPr>
      <w:r w:rsidRPr="003D0D34">
        <w:rPr>
          <w:rFonts w:ascii="Times New Roman" w:hAnsi="Times New Roman" w:cs="Times New Roman"/>
          <w:color w:val="000000" w:themeColor="text1"/>
          <w:sz w:val="24"/>
          <w:szCs w:val="24"/>
        </w:rPr>
        <w:lastRenderedPageBreak/>
        <w:t xml:space="preserve">The request received by UHA was not </w:t>
      </w:r>
      <w:r w:rsidR="00EE1766" w:rsidRPr="003D0D34">
        <w:rPr>
          <w:rFonts w:ascii="Times New Roman" w:hAnsi="Times New Roman" w:cs="Times New Roman"/>
          <w:color w:val="000000" w:themeColor="text1"/>
          <w:sz w:val="24"/>
          <w:szCs w:val="24"/>
        </w:rPr>
        <w:t>complete.</w:t>
      </w:r>
    </w:p>
    <w:p w14:paraId="6283A8ED" w14:textId="5E5B690F" w:rsidR="00EB7708" w:rsidRPr="003D0D34" w:rsidRDefault="00EB7708" w:rsidP="00F648F9">
      <w:pPr>
        <w:pStyle w:val="NoSpacing"/>
        <w:numPr>
          <w:ilvl w:val="0"/>
          <w:numId w:val="5"/>
        </w:numPr>
        <w:rPr>
          <w:rFonts w:ascii="Times New Roman" w:hAnsi="Times New Roman" w:cs="Times New Roman"/>
          <w:color w:val="000000" w:themeColor="text1"/>
          <w:sz w:val="24"/>
          <w:szCs w:val="24"/>
        </w:rPr>
      </w:pPr>
      <w:r w:rsidRPr="003D0D34">
        <w:rPr>
          <w:rFonts w:ascii="Times New Roman" w:hAnsi="Times New Roman" w:cs="Times New Roman"/>
          <w:color w:val="000000" w:themeColor="text1"/>
          <w:sz w:val="24"/>
          <w:szCs w:val="24"/>
        </w:rPr>
        <w:t xml:space="preserve">The provider did not hold the appropriate license, certificate, or credential at the time services were </w:t>
      </w:r>
      <w:r w:rsidR="00EE1766" w:rsidRPr="003D0D34">
        <w:rPr>
          <w:rFonts w:ascii="Times New Roman" w:hAnsi="Times New Roman" w:cs="Times New Roman"/>
          <w:color w:val="000000" w:themeColor="text1"/>
          <w:sz w:val="24"/>
          <w:szCs w:val="24"/>
        </w:rPr>
        <w:t>requested.</w:t>
      </w:r>
    </w:p>
    <w:p w14:paraId="6FF485A1" w14:textId="1904327E" w:rsidR="00EB7708" w:rsidRPr="003D0D34" w:rsidRDefault="00EB7708" w:rsidP="00F648F9">
      <w:pPr>
        <w:pStyle w:val="NoSpacing"/>
        <w:numPr>
          <w:ilvl w:val="0"/>
          <w:numId w:val="5"/>
        </w:numPr>
        <w:rPr>
          <w:rFonts w:ascii="Times New Roman" w:hAnsi="Times New Roman" w:cs="Times New Roman"/>
          <w:color w:val="000000" w:themeColor="text1"/>
          <w:sz w:val="24"/>
          <w:szCs w:val="24"/>
        </w:rPr>
      </w:pPr>
      <w:r w:rsidRPr="003D0D34">
        <w:rPr>
          <w:rFonts w:ascii="Times New Roman" w:hAnsi="Times New Roman" w:cs="Times New Roman"/>
          <w:color w:val="000000" w:themeColor="text1"/>
          <w:sz w:val="24"/>
          <w:szCs w:val="24"/>
        </w:rPr>
        <w:t xml:space="preserve">The recipient was not eligible for Medicaid at the time services were </w:t>
      </w:r>
      <w:r w:rsidR="00EE1766" w:rsidRPr="003D0D34">
        <w:rPr>
          <w:rFonts w:ascii="Times New Roman" w:hAnsi="Times New Roman" w:cs="Times New Roman"/>
          <w:color w:val="000000" w:themeColor="text1"/>
          <w:sz w:val="24"/>
          <w:szCs w:val="24"/>
        </w:rPr>
        <w:t>requested.</w:t>
      </w:r>
    </w:p>
    <w:p w14:paraId="12B76328" w14:textId="34CB1EEB" w:rsidR="00EB7708" w:rsidRPr="003D0D34" w:rsidRDefault="00EB7708" w:rsidP="00F648F9">
      <w:pPr>
        <w:pStyle w:val="NoSpacing"/>
        <w:numPr>
          <w:ilvl w:val="0"/>
          <w:numId w:val="5"/>
        </w:numPr>
        <w:rPr>
          <w:rFonts w:ascii="Times New Roman" w:hAnsi="Times New Roman" w:cs="Times New Roman"/>
          <w:color w:val="000000" w:themeColor="text1"/>
          <w:sz w:val="24"/>
          <w:szCs w:val="24"/>
        </w:rPr>
      </w:pPr>
      <w:r w:rsidRPr="003D0D34">
        <w:rPr>
          <w:rFonts w:ascii="Times New Roman" w:hAnsi="Times New Roman" w:cs="Times New Roman"/>
          <w:color w:val="000000" w:themeColor="text1"/>
          <w:sz w:val="24"/>
          <w:szCs w:val="24"/>
        </w:rPr>
        <w:t xml:space="preserve">The provider cannot produce appropriate documentation to support medical appropriateness, or the appropriate documentation was not submitted to </w:t>
      </w:r>
      <w:r w:rsidR="00EE1766" w:rsidRPr="003D0D34">
        <w:rPr>
          <w:rFonts w:ascii="Times New Roman" w:hAnsi="Times New Roman" w:cs="Times New Roman"/>
          <w:color w:val="000000" w:themeColor="text1"/>
          <w:sz w:val="24"/>
          <w:szCs w:val="24"/>
        </w:rPr>
        <w:t>UHA.</w:t>
      </w:r>
    </w:p>
    <w:p w14:paraId="2063BE24" w14:textId="77777777" w:rsidR="00EB7708" w:rsidRPr="003D0D34" w:rsidRDefault="00EB7708" w:rsidP="00F648F9">
      <w:pPr>
        <w:pStyle w:val="NoSpacing"/>
        <w:numPr>
          <w:ilvl w:val="0"/>
          <w:numId w:val="5"/>
        </w:numPr>
        <w:rPr>
          <w:rFonts w:ascii="Times New Roman" w:hAnsi="Times New Roman" w:cs="Times New Roman"/>
          <w:color w:val="000000" w:themeColor="text1"/>
          <w:sz w:val="24"/>
          <w:szCs w:val="24"/>
        </w:rPr>
      </w:pPr>
      <w:r w:rsidRPr="003D0D34">
        <w:rPr>
          <w:rFonts w:ascii="Times New Roman" w:hAnsi="Times New Roman" w:cs="Times New Roman"/>
          <w:color w:val="000000" w:themeColor="text1"/>
          <w:sz w:val="24"/>
          <w:szCs w:val="24"/>
        </w:rPr>
        <w:t>The services requested are not in compliance with OAR 410-120-1260 through 410-120-1860.</w:t>
      </w:r>
    </w:p>
    <w:p w14:paraId="2D821EEE" w14:textId="77777777" w:rsidR="00EB7708" w:rsidRDefault="00EB7708" w:rsidP="00EB7708">
      <w:pPr>
        <w:pStyle w:val="NoSpacing"/>
        <w:rPr>
          <w:rFonts w:ascii="Times New Roman" w:hAnsi="Times New Roman" w:cs="Times New Roman"/>
          <w:color w:val="000000" w:themeColor="text1"/>
          <w:sz w:val="24"/>
          <w:szCs w:val="24"/>
        </w:rPr>
      </w:pPr>
    </w:p>
    <w:bookmarkEnd w:id="1"/>
    <w:p w14:paraId="27B171EC" w14:textId="40EBBF9E" w:rsidR="003B34C6" w:rsidRDefault="003B34C6" w:rsidP="00997FC0">
      <w:pPr>
        <w:pStyle w:val="Heading3"/>
        <w:rPr>
          <w:rFonts w:ascii="Arial" w:hAnsi="Arial" w:cs="Arial"/>
          <w:b/>
          <w:color w:val="006892"/>
        </w:rPr>
      </w:pPr>
      <w:r>
        <w:rPr>
          <w:rFonts w:ascii="Arial" w:hAnsi="Arial" w:cs="Arial"/>
          <w:b/>
          <w:color w:val="006892"/>
        </w:rPr>
        <w:t>UTLIZATION MANAGEMENT REVIEW CRITERIA</w:t>
      </w:r>
    </w:p>
    <w:p w14:paraId="32CC13C7" w14:textId="30FCEAF8" w:rsidR="003B34C6" w:rsidRPr="00B10175" w:rsidRDefault="003B34C6" w:rsidP="003B34C6">
      <w:pPr>
        <w:pStyle w:val="NoSpacing"/>
        <w:rPr>
          <w:rFonts w:ascii="Times New Roman" w:eastAsia="Times New Roman" w:hAnsi="Times New Roman" w:cs="Times New Roman"/>
          <w:sz w:val="24"/>
          <w:szCs w:val="24"/>
        </w:rPr>
      </w:pPr>
      <w:r w:rsidRPr="00B10175">
        <w:rPr>
          <w:rFonts w:ascii="Times New Roman" w:eastAsia="Times New Roman" w:hAnsi="Times New Roman" w:cs="Times New Roman"/>
          <w:sz w:val="24"/>
          <w:szCs w:val="24"/>
        </w:rPr>
        <w:t>Prior authorization requests</w:t>
      </w:r>
      <w:r>
        <w:rPr>
          <w:rFonts w:ascii="Times New Roman" w:eastAsia="Times New Roman" w:hAnsi="Times New Roman" w:cs="Times New Roman"/>
          <w:sz w:val="24"/>
          <w:szCs w:val="24"/>
        </w:rPr>
        <w:t xml:space="preserve"> that require review </w:t>
      </w:r>
      <w:r w:rsidRPr="00B10175">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assessed for medical appropriateness and necessity by</w:t>
      </w:r>
      <w:r w:rsidRPr="00B10175">
        <w:rPr>
          <w:rFonts w:ascii="Times New Roman" w:eastAsia="Times New Roman" w:hAnsi="Times New Roman" w:cs="Times New Roman"/>
          <w:sz w:val="24"/>
          <w:szCs w:val="24"/>
        </w:rPr>
        <w:t xml:space="preserve"> using the following resources</w:t>
      </w:r>
      <w:r>
        <w:rPr>
          <w:rFonts w:ascii="Times New Roman" w:eastAsia="Times New Roman" w:hAnsi="Times New Roman" w:cs="Times New Roman"/>
          <w:sz w:val="24"/>
          <w:szCs w:val="24"/>
        </w:rPr>
        <w:t>:</w:t>
      </w:r>
    </w:p>
    <w:p w14:paraId="2A3032B6" w14:textId="5DF266BF" w:rsidR="00D41962" w:rsidRPr="009C1E08" w:rsidRDefault="00D41962" w:rsidP="00F648F9">
      <w:pPr>
        <w:pStyle w:val="ListParagraph"/>
        <w:numPr>
          <w:ilvl w:val="0"/>
          <w:numId w:val="6"/>
        </w:numPr>
        <w:spacing w:after="0"/>
      </w:pPr>
      <w:r w:rsidRPr="00D41962">
        <w:rPr>
          <w:b/>
          <w:bCs/>
        </w:rPr>
        <w:t xml:space="preserve">Prioritized List of Health Services (PLHS): </w:t>
      </w:r>
      <w:r w:rsidRPr="00A209F0">
        <w:t>The Oregon Health Evidence Review Commission (HERC) ranks health care condition and treatment pairs in order of clinical effect</w:t>
      </w:r>
      <w:r>
        <w:t xml:space="preserve">iveness and cost-effectiveness. </w:t>
      </w:r>
      <w:r w:rsidRPr="00A209F0">
        <w:t xml:space="preserve">The Prioritized List emphasizes prevention and patient education. In general, treatments that help prevent illness are ranked higher than services that treat </w:t>
      </w:r>
      <w:r>
        <w:t xml:space="preserve">an </w:t>
      </w:r>
      <w:r w:rsidRPr="00A209F0">
        <w:t>illness after it occurs. OHP covers treatments that are ranked on a covered Prioritized List line for the client's reported medical condition.</w:t>
      </w:r>
      <w:r>
        <w:t xml:space="preserve"> </w:t>
      </w:r>
      <w:r w:rsidRPr="00A209F0">
        <w:t>OHP covers Priori</w:t>
      </w:r>
      <w:r>
        <w:t>tized List lines 1 through 47</w:t>
      </w:r>
      <w:r w:rsidR="009F2E27">
        <w:t>1</w:t>
      </w:r>
      <w:r>
        <w:t>.</w:t>
      </w:r>
      <w:r w:rsidR="009F2E27">
        <w:t xml:space="preserve"> </w:t>
      </w:r>
      <w:r w:rsidRPr="00A209F0">
        <w:t xml:space="preserve">Current Prioritized List can be found at </w:t>
      </w:r>
      <w:hyperlink r:id="rId11" w:history="1">
        <w:r w:rsidRPr="0019073C">
          <w:rPr>
            <w:rStyle w:val="Hyperlink"/>
          </w:rPr>
          <w:t>https://www.oregon.gov/oha/HPA/DSI-HERC/Pages/Prioritized-List.aspx</w:t>
        </w:r>
      </w:hyperlink>
    </w:p>
    <w:p w14:paraId="6EF51B20" w14:textId="4F48347D" w:rsidR="00D41962" w:rsidRDefault="00D41962" w:rsidP="00F648F9">
      <w:pPr>
        <w:pStyle w:val="ListParagraph"/>
        <w:numPr>
          <w:ilvl w:val="0"/>
          <w:numId w:val="6"/>
        </w:numPr>
        <w:spacing w:after="0"/>
      </w:pPr>
      <w:r w:rsidRPr="00D41962">
        <w:rPr>
          <w:b/>
          <w:bCs/>
        </w:rPr>
        <w:t xml:space="preserve">Guideline Notes: </w:t>
      </w:r>
      <w:r w:rsidRPr="0019073C">
        <w:t>Using the Prioritized List for the line of coverage, based upon ICD-10, CPT</w:t>
      </w:r>
      <w:r>
        <w:t>,</w:t>
      </w:r>
      <w:r w:rsidRPr="0019073C">
        <w:t xml:space="preserve"> and HCPCS codes, UHA will then find the associated</w:t>
      </w:r>
      <w:r>
        <w:t xml:space="preserve"> Guideline Note for treatment. </w:t>
      </w:r>
      <w:r w:rsidRPr="0019073C">
        <w:t xml:space="preserve">These guidelines can be found at </w:t>
      </w:r>
      <w:hyperlink r:id="rId12" w:history="1">
        <w:r w:rsidRPr="00D32C23">
          <w:rPr>
            <w:rStyle w:val="Hyperlink"/>
          </w:rPr>
          <w:t>https://www.oregon.gov/oha/HSD/OHP/pages/policies.aspx</w:t>
        </w:r>
      </w:hyperlink>
      <w:r>
        <w:t xml:space="preserve">. </w:t>
      </w:r>
    </w:p>
    <w:p w14:paraId="4852805F" w14:textId="35AB16CD" w:rsidR="00D41962" w:rsidRDefault="00D41962" w:rsidP="00F648F9">
      <w:pPr>
        <w:pStyle w:val="ListParagraph"/>
        <w:numPr>
          <w:ilvl w:val="0"/>
          <w:numId w:val="8"/>
        </w:numPr>
        <w:spacing w:after="0"/>
      </w:pPr>
      <w:r w:rsidRPr="00D41962">
        <w:rPr>
          <w:b/>
          <w:bCs/>
        </w:rPr>
        <w:t>InterQual®:</w:t>
      </w:r>
      <w:r>
        <w:t xml:space="preserve"> </w:t>
      </w:r>
      <w:r w:rsidRPr="0019073C">
        <w:t xml:space="preserve">InterQual® is an evidence-based clinical decision support tool used to make clinically appropriate medical utilization decisions. UHA applies this tool to PA requests, including chiropractic services. The determination process includes </w:t>
      </w:r>
      <w:r>
        <w:t xml:space="preserve">the </w:t>
      </w:r>
      <w:r w:rsidRPr="0019073C">
        <w:t xml:space="preserve">evaluation of the duration of treatment. Documentation of the InterQual® criteria is included in each PA used to </w:t>
      </w:r>
      <w:proofErr w:type="gramStart"/>
      <w:r w:rsidRPr="0019073C">
        <w:t>make a determination</w:t>
      </w:r>
      <w:proofErr w:type="gramEnd"/>
      <w:r w:rsidRPr="0019073C">
        <w:t xml:space="preserve"> in CIM, which can be accessed by CIM users.</w:t>
      </w:r>
    </w:p>
    <w:p w14:paraId="0B3054DE" w14:textId="77777777" w:rsidR="00773B9B" w:rsidRPr="00773B9B" w:rsidRDefault="00773B9B" w:rsidP="00F648F9">
      <w:pPr>
        <w:pStyle w:val="NoSpacing"/>
        <w:numPr>
          <w:ilvl w:val="0"/>
          <w:numId w:val="8"/>
        </w:numPr>
        <w:rPr>
          <w:rFonts w:ascii="Times New Roman" w:eastAsia="Times New Roman" w:hAnsi="Times New Roman" w:cs="Times New Roman"/>
          <w:b/>
          <w:bCs/>
          <w:sz w:val="24"/>
          <w:szCs w:val="24"/>
        </w:rPr>
      </w:pPr>
      <w:r w:rsidRPr="00773B9B">
        <w:rPr>
          <w:rFonts w:ascii="Times New Roman" w:eastAsia="Times New Roman" w:hAnsi="Times New Roman" w:cs="Times New Roman"/>
          <w:b/>
          <w:bCs/>
          <w:sz w:val="24"/>
          <w:szCs w:val="24"/>
        </w:rPr>
        <w:t>Oregon Administrative Rules (OAR)</w:t>
      </w:r>
      <w:r>
        <w:rPr>
          <w:rFonts w:ascii="Times New Roman" w:eastAsia="Times New Roman" w:hAnsi="Times New Roman" w:cs="Times New Roman"/>
          <w:b/>
          <w:bCs/>
          <w:sz w:val="24"/>
          <w:szCs w:val="24"/>
        </w:rPr>
        <w:t xml:space="preserve">: </w:t>
      </w:r>
      <w:hyperlink r:id="rId13" w:history="1">
        <w:r w:rsidRPr="007064EF">
          <w:rPr>
            <w:rStyle w:val="Hyperlink"/>
            <w:rFonts w:ascii="Times New Roman" w:eastAsia="Times New Roman" w:hAnsi="Times New Roman" w:cs="Times New Roman"/>
            <w:sz w:val="24"/>
            <w:szCs w:val="24"/>
          </w:rPr>
          <w:t>https://secure.sos.state.or.us/oard/ruleSearch.action</w:t>
        </w:r>
      </w:hyperlink>
      <w:r>
        <w:rPr>
          <w:rFonts w:ascii="Times New Roman" w:eastAsia="Times New Roman" w:hAnsi="Times New Roman" w:cs="Times New Roman"/>
          <w:sz w:val="24"/>
          <w:szCs w:val="24"/>
        </w:rPr>
        <w:t xml:space="preserve"> </w:t>
      </w:r>
    </w:p>
    <w:p w14:paraId="5834894F" w14:textId="77777777" w:rsidR="00773B9B" w:rsidRPr="00773B9B" w:rsidRDefault="00773B9B" w:rsidP="00F648F9">
      <w:pPr>
        <w:pStyle w:val="NoSpacing"/>
        <w:numPr>
          <w:ilvl w:val="0"/>
          <w:numId w:val="8"/>
        </w:numPr>
        <w:rPr>
          <w:rFonts w:ascii="Times New Roman" w:eastAsia="Times New Roman" w:hAnsi="Times New Roman" w:cs="Times New Roman"/>
          <w:sz w:val="24"/>
          <w:szCs w:val="24"/>
        </w:rPr>
      </w:pPr>
      <w:r w:rsidRPr="00773B9B">
        <w:rPr>
          <w:rFonts w:ascii="Times New Roman" w:eastAsia="Times New Roman" w:hAnsi="Times New Roman" w:cs="Times New Roman"/>
          <w:b/>
          <w:bCs/>
          <w:sz w:val="24"/>
          <w:szCs w:val="24"/>
        </w:rPr>
        <w:t>Up-to-Date ® Wolters Kluwer</w:t>
      </w:r>
      <w:r>
        <w:rPr>
          <w:rFonts w:ascii="Times New Roman" w:eastAsia="Times New Roman" w:hAnsi="Times New Roman" w:cs="Times New Roman"/>
          <w:b/>
          <w:bCs/>
          <w:sz w:val="24"/>
          <w:szCs w:val="24"/>
        </w:rPr>
        <w:t xml:space="preserve">: </w:t>
      </w:r>
      <w:r w:rsidRPr="00773B9B">
        <w:rPr>
          <w:rFonts w:ascii="Times New Roman" w:eastAsia="Times New Roman" w:hAnsi="Times New Roman" w:cs="Times New Roman"/>
          <w:sz w:val="24"/>
          <w:szCs w:val="24"/>
        </w:rPr>
        <w:t xml:space="preserve">UpToDate is </w:t>
      </w:r>
      <w:r>
        <w:rPr>
          <w:rFonts w:ascii="Times New Roman" w:eastAsia="Times New Roman" w:hAnsi="Times New Roman" w:cs="Times New Roman"/>
          <w:sz w:val="24"/>
          <w:szCs w:val="24"/>
        </w:rPr>
        <w:t>an</w:t>
      </w:r>
      <w:r w:rsidRPr="00773B9B">
        <w:rPr>
          <w:rFonts w:ascii="Times New Roman" w:eastAsia="Times New Roman" w:hAnsi="Times New Roman" w:cs="Times New Roman"/>
          <w:sz w:val="24"/>
          <w:szCs w:val="24"/>
        </w:rPr>
        <w:t xml:space="preserve"> evidence-based clinical decision support resource at the point of care</w:t>
      </w:r>
      <w:r>
        <w:rPr>
          <w:rFonts w:ascii="Times New Roman" w:eastAsia="Times New Roman" w:hAnsi="Times New Roman" w:cs="Times New Roman"/>
          <w:sz w:val="24"/>
          <w:szCs w:val="24"/>
        </w:rPr>
        <w:t xml:space="preserve">. </w:t>
      </w:r>
    </w:p>
    <w:p w14:paraId="2C8F9472" w14:textId="4199CE5F" w:rsidR="00D41962" w:rsidRDefault="00D41962" w:rsidP="00F648F9">
      <w:pPr>
        <w:pStyle w:val="ListParagraph"/>
        <w:numPr>
          <w:ilvl w:val="0"/>
          <w:numId w:val="8"/>
        </w:numPr>
        <w:spacing w:after="0"/>
      </w:pPr>
      <w:r w:rsidRPr="00D41962">
        <w:rPr>
          <w:b/>
          <w:bCs/>
        </w:rPr>
        <w:t xml:space="preserve">Clinical Practice Guidelines: </w:t>
      </w:r>
      <w:r w:rsidRPr="0019073C">
        <w:t xml:space="preserve">Umpqua Health Alliance’s Clinical Practice Guidelines are adopted by UHA’s Clinical Advisory Panel. They can be found on the UHA website at </w:t>
      </w:r>
      <w:hyperlink r:id="rId14" w:history="1">
        <w:r w:rsidRPr="00D32C23">
          <w:rPr>
            <w:rStyle w:val="Hyperlink"/>
          </w:rPr>
          <w:t>https://www.umpquahealth.com/clinical-practice-guidelines/</w:t>
        </w:r>
      </w:hyperlink>
      <w:r w:rsidRPr="0019073C">
        <w:t>.</w:t>
      </w:r>
    </w:p>
    <w:p w14:paraId="448EFABD" w14:textId="5D73CFF8" w:rsidR="00D41962" w:rsidRDefault="00D41962" w:rsidP="00F648F9">
      <w:pPr>
        <w:pStyle w:val="ListParagraph"/>
        <w:numPr>
          <w:ilvl w:val="0"/>
          <w:numId w:val="8"/>
        </w:numPr>
        <w:spacing w:after="0"/>
      </w:pPr>
      <w:r w:rsidRPr="00D41962">
        <w:rPr>
          <w:b/>
          <w:bCs/>
        </w:rPr>
        <w:t>American Society of Addiction Medicine</w:t>
      </w:r>
      <w:r>
        <w:rPr>
          <w:b/>
          <w:bCs/>
        </w:rPr>
        <w:t xml:space="preserve"> (ASAM)</w:t>
      </w:r>
      <w:r w:rsidRPr="00D41962">
        <w:rPr>
          <w:b/>
          <w:bCs/>
        </w:rPr>
        <w:t>:</w:t>
      </w:r>
      <w:r>
        <w:rPr>
          <w:b/>
          <w:bCs/>
        </w:rPr>
        <w:t xml:space="preserve"> </w:t>
      </w:r>
      <w:r w:rsidRPr="00D41962">
        <w:t>The ASAM Criteria is the most widely used and comprehensive set of guidelines for placement, continued stay, transfer, or discharge of patients with addiction and co-occurring conditions</w:t>
      </w:r>
      <w:r w:rsidR="00EE1766" w:rsidRPr="00D41962">
        <w:t xml:space="preserve">. </w:t>
      </w:r>
    </w:p>
    <w:p w14:paraId="2FA5141D" w14:textId="77777777" w:rsidR="007563D2" w:rsidRPr="007563D2" w:rsidRDefault="007563D2" w:rsidP="00F648F9">
      <w:pPr>
        <w:pStyle w:val="ListParagraph"/>
        <w:numPr>
          <w:ilvl w:val="0"/>
          <w:numId w:val="8"/>
        </w:numPr>
        <w:spacing w:after="0"/>
        <w:rPr>
          <w:b/>
          <w:bCs/>
        </w:rPr>
      </w:pPr>
      <w:r w:rsidRPr="007563D2">
        <w:rPr>
          <w:b/>
          <w:bCs/>
        </w:rPr>
        <w:t>Functional Rating Index© Institute of Evidence-Based Chiropractic</w:t>
      </w:r>
    </w:p>
    <w:p w14:paraId="6B0177DF" w14:textId="7E68F65B" w:rsidR="007563D2" w:rsidRDefault="007563D2" w:rsidP="00F648F9">
      <w:pPr>
        <w:pStyle w:val="ListParagraph"/>
        <w:numPr>
          <w:ilvl w:val="0"/>
          <w:numId w:val="8"/>
        </w:numPr>
        <w:spacing w:after="0"/>
      </w:pPr>
      <w:r w:rsidRPr="007563D2">
        <w:rPr>
          <w:b/>
          <w:bCs/>
        </w:rPr>
        <w:t>AllMed</w:t>
      </w:r>
      <w:r>
        <w:rPr>
          <w:b/>
          <w:bCs/>
        </w:rPr>
        <w:t xml:space="preserve">: </w:t>
      </w:r>
      <w:r w:rsidRPr="007563D2">
        <w:t>C</w:t>
      </w:r>
      <w:r>
        <w:t xml:space="preserve">ontracted Independent Review Organization UHA uses for evaluation of high cost DME or for any Expert Specialty </w:t>
      </w:r>
      <w:r w:rsidR="00EE1766">
        <w:t>review.</w:t>
      </w:r>
    </w:p>
    <w:p w14:paraId="32608FF6" w14:textId="77777777" w:rsidR="007563D2" w:rsidRDefault="007563D2" w:rsidP="00F648F9">
      <w:pPr>
        <w:pStyle w:val="ListParagraph"/>
        <w:numPr>
          <w:ilvl w:val="0"/>
          <w:numId w:val="8"/>
        </w:numPr>
        <w:spacing w:after="0"/>
      </w:pPr>
      <w:r w:rsidRPr="007563D2">
        <w:rPr>
          <w:b/>
          <w:bCs/>
        </w:rPr>
        <w:lastRenderedPageBreak/>
        <w:t>CMS In-patient Hospitalization list of CPT codes paid only as Inpatient procedures</w:t>
      </w:r>
      <w:r>
        <w:t xml:space="preserve">. </w:t>
      </w:r>
    </w:p>
    <w:p w14:paraId="242B8CE6" w14:textId="71F916F2" w:rsidR="007563D2" w:rsidRDefault="007563D2" w:rsidP="00F648F9">
      <w:pPr>
        <w:pStyle w:val="ListParagraph"/>
        <w:numPr>
          <w:ilvl w:val="0"/>
          <w:numId w:val="8"/>
        </w:numPr>
        <w:spacing w:after="0"/>
        <w:rPr>
          <w:b/>
          <w:bCs/>
        </w:rPr>
      </w:pPr>
      <w:r w:rsidRPr="007563D2">
        <w:rPr>
          <w:b/>
          <w:bCs/>
        </w:rPr>
        <w:t xml:space="preserve">Medicare Local Coverage Determination (LCD) and National Coverage Determination (NCD) </w:t>
      </w:r>
    </w:p>
    <w:p w14:paraId="7BF24483" w14:textId="77777777" w:rsidR="00C043F8" w:rsidRPr="007563D2" w:rsidRDefault="00C043F8" w:rsidP="00C043F8">
      <w:pPr>
        <w:pStyle w:val="ListParagraph"/>
        <w:spacing w:after="0"/>
        <w:rPr>
          <w:b/>
          <w:bCs/>
        </w:rPr>
      </w:pPr>
    </w:p>
    <w:p w14:paraId="69BA7081" w14:textId="265ECF99" w:rsidR="00B64473" w:rsidRDefault="00B64473" w:rsidP="00997FC0">
      <w:pPr>
        <w:pStyle w:val="Heading3"/>
        <w:rPr>
          <w:rFonts w:ascii="Arial" w:hAnsi="Arial" w:cs="Arial"/>
          <w:b/>
          <w:color w:val="006892"/>
        </w:rPr>
      </w:pPr>
      <w:r>
        <w:rPr>
          <w:rFonts w:ascii="Arial" w:hAnsi="Arial" w:cs="Arial"/>
          <w:b/>
          <w:color w:val="006892"/>
        </w:rPr>
        <w:t>UTLIZATION MANAGEMENT REVIEW TYPES</w:t>
      </w:r>
    </w:p>
    <w:p w14:paraId="0365A1EB" w14:textId="377B1EF4" w:rsidR="00B64473" w:rsidRPr="00B64473" w:rsidRDefault="00B64473" w:rsidP="00F648F9">
      <w:pPr>
        <w:pStyle w:val="ListParagraph"/>
        <w:numPr>
          <w:ilvl w:val="0"/>
          <w:numId w:val="11"/>
        </w:numPr>
        <w:spacing w:after="0"/>
        <w:rPr>
          <w:rFonts w:cs="Times New Roman"/>
          <w:szCs w:val="24"/>
        </w:rPr>
      </w:pPr>
      <w:r w:rsidRPr="00B64473">
        <w:rPr>
          <w:rFonts w:cs="Times New Roman"/>
          <w:b/>
          <w:bCs/>
          <w:szCs w:val="24"/>
        </w:rPr>
        <w:t>Pre-service review:</w:t>
      </w:r>
      <w:r w:rsidRPr="00B64473">
        <w:rPr>
          <w:rFonts w:cs="Times New Roman"/>
          <w:szCs w:val="24"/>
        </w:rPr>
        <w:t xml:space="preserve"> </w:t>
      </w:r>
      <w:r>
        <w:rPr>
          <w:rFonts w:cs="Times New Roman"/>
          <w:szCs w:val="24"/>
        </w:rPr>
        <w:t xml:space="preserve">This are services that require a prior authorization review before the service is rendered. </w:t>
      </w:r>
      <w:r w:rsidR="00B779CB">
        <w:rPr>
          <w:rFonts w:cs="Times New Roman"/>
          <w:szCs w:val="24"/>
        </w:rPr>
        <w:t xml:space="preserve">These include all elective procedures, hospitalization, outpatient services, out-of-network referrals and durable medical equipment as indicated on UHA’s PA Grid. </w:t>
      </w:r>
    </w:p>
    <w:p w14:paraId="3A0C1C1C" w14:textId="77777777" w:rsidR="00B779CB" w:rsidRDefault="00B64473" w:rsidP="00F648F9">
      <w:pPr>
        <w:pStyle w:val="ListParagraph"/>
        <w:numPr>
          <w:ilvl w:val="0"/>
          <w:numId w:val="10"/>
        </w:numPr>
        <w:spacing w:after="0"/>
        <w:rPr>
          <w:rFonts w:cs="Times New Roman"/>
          <w:szCs w:val="24"/>
        </w:rPr>
      </w:pPr>
      <w:r w:rsidRPr="00B779CB">
        <w:rPr>
          <w:rFonts w:cs="Times New Roman"/>
          <w:b/>
          <w:bCs/>
          <w:szCs w:val="24"/>
        </w:rPr>
        <w:t>Concurrent review:</w:t>
      </w:r>
      <w:r w:rsidRPr="00B779CB">
        <w:rPr>
          <w:rFonts w:cs="Times New Roman"/>
          <w:szCs w:val="24"/>
        </w:rPr>
        <w:t xml:space="preserve"> </w:t>
      </w:r>
      <w:r w:rsidR="00B779CB" w:rsidRPr="00B779CB">
        <w:rPr>
          <w:rFonts w:cs="Times New Roman"/>
          <w:szCs w:val="24"/>
        </w:rPr>
        <w:t xml:space="preserve">These requests are an extension of ongoing treatment or care. These are to be requested after the initial approval of a pre-service review and are required for all inpatient and/or residential care. </w:t>
      </w:r>
    </w:p>
    <w:p w14:paraId="3B702773" w14:textId="2F1C61DD" w:rsidR="00B779CB" w:rsidRDefault="00B64473" w:rsidP="00F648F9">
      <w:pPr>
        <w:pStyle w:val="ListParagraph"/>
        <w:numPr>
          <w:ilvl w:val="0"/>
          <w:numId w:val="10"/>
        </w:numPr>
        <w:rPr>
          <w:rFonts w:cs="Times New Roman"/>
          <w:szCs w:val="24"/>
        </w:rPr>
      </w:pPr>
      <w:r w:rsidRPr="00B779CB">
        <w:rPr>
          <w:rFonts w:cs="Times New Roman"/>
          <w:b/>
          <w:bCs/>
          <w:szCs w:val="24"/>
        </w:rPr>
        <w:t>Post-service review:</w:t>
      </w:r>
      <w:r w:rsidRPr="00B779CB">
        <w:rPr>
          <w:rFonts w:cs="Times New Roman"/>
          <w:szCs w:val="24"/>
        </w:rPr>
        <w:t xml:space="preserve"> </w:t>
      </w:r>
      <w:r w:rsidR="00B779CB">
        <w:rPr>
          <w:rFonts w:cs="Times New Roman"/>
          <w:szCs w:val="24"/>
        </w:rPr>
        <w:t xml:space="preserve">These requests after the date of service. </w:t>
      </w:r>
      <w:bookmarkStart w:id="2" w:name="_Hlk121745798"/>
      <w:r w:rsidR="00B779CB" w:rsidRPr="00B779CB">
        <w:rPr>
          <w:rFonts w:cs="Times New Roman"/>
          <w:szCs w:val="24"/>
        </w:rPr>
        <w:t xml:space="preserve">Any requests for authorization after 30 days from the date of service (90 days for Behavioral Health services) requires documentation from the provider that indicates why authorization could not be obtained within 30 days of the date of service. </w:t>
      </w:r>
      <w:r w:rsidR="00B779CB">
        <w:rPr>
          <w:rFonts w:cs="Times New Roman"/>
          <w:szCs w:val="24"/>
        </w:rPr>
        <w:t xml:space="preserve">Post-service or retrospective reviews are discouraged and will need to be sent for provider appeals for coverage past these timelines. </w:t>
      </w:r>
    </w:p>
    <w:p w14:paraId="27FC5708" w14:textId="3166EF09" w:rsidR="00997FC0" w:rsidRDefault="00B779CB" w:rsidP="00997FC0">
      <w:pPr>
        <w:pStyle w:val="ListParagraph"/>
        <w:numPr>
          <w:ilvl w:val="0"/>
          <w:numId w:val="10"/>
        </w:numPr>
        <w:rPr>
          <w:rFonts w:cs="Times New Roman"/>
          <w:szCs w:val="24"/>
        </w:rPr>
      </w:pPr>
      <w:r>
        <w:rPr>
          <w:rFonts w:cs="Times New Roman"/>
          <w:b/>
          <w:bCs/>
          <w:szCs w:val="24"/>
        </w:rPr>
        <w:t xml:space="preserve">Amendments: </w:t>
      </w:r>
      <w:r>
        <w:rPr>
          <w:rFonts w:cs="Times New Roman"/>
          <w:szCs w:val="24"/>
        </w:rPr>
        <w:t xml:space="preserve">These requests are to make a change after the final approval of an authorization. This includes changes/edits/additions of diagnosis codes, CPT/HCPC codes, date changes, provider changes, quantity changes. A request for additional visits will be considered a new request. </w:t>
      </w:r>
      <w:bookmarkEnd w:id="2"/>
    </w:p>
    <w:p w14:paraId="54ECEEF4" w14:textId="77777777" w:rsidR="00997FC0" w:rsidRPr="00997FC0" w:rsidRDefault="00997FC0" w:rsidP="00997FC0">
      <w:pPr>
        <w:pStyle w:val="ListParagraph"/>
        <w:rPr>
          <w:rFonts w:cs="Times New Roman"/>
          <w:szCs w:val="24"/>
        </w:rPr>
      </w:pPr>
    </w:p>
    <w:p w14:paraId="7BCD862F" w14:textId="2236B64C" w:rsidR="000B7569" w:rsidRDefault="000B7569" w:rsidP="00997FC0">
      <w:pPr>
        <w:pStyle w:val="Heading3"/>
        <w:rPr>
          <w:rFonts w:ascii="Arial" w:hAnsi="Arial" w:cs="Arial"/>
          <w:b/>
          <w:color w:val="006892"/>
        </w:rPr>
      </w:pPr>
      <w:r w:rsidRPr="000B7569">
        <w:rPr>
          <w:rFonts w:ascii="Arial" w:hAnsi="Arial" w:cs="Arial"/>
          <w:b/>
          <w:color w:val="006892"/>
        </w:rPr>
        <w:t>PRIOR AUTHORIZATION TIMELINES</w:t>
      </w:r>
    </w:p>
    <w:p w14:paraId="37C96BBF" w14:textId="1B9C3081" w:rsidR="001B0D11" w:rsidRDefault="00BE69A1" w:rsidP="00BE69A1">
      <w:r w:rsidRPr="00BE69A1">
        <w:t>In accordance with OAR 410-141-3835(</w:t>
      </w:r>
      <w:r w:rsidR="00B75993">
        <w:t>10</w:t>
      </w:r>
      <w:r w:rsidRPr="00BE69A1">
        <w:t xml:space="preserve">)(f)(C), received prior authorization requests will be </w:t>
      </w:r>
      <w:r>
        <w:t>d</w:t>
      </w:r>
      <w:r w:rsidRPr="00BE69A1">
        <w:t xml:space="preserve">ate </w:t>
      </w:r>
      <w:r>
        <w:t>stamped upon receipt</w:t>
      </w:r>
      <w:r w:rsidR="00EE1766">
        <w:t xml:space="preserve">. </w:t>
      </w:r>
      <w:r w:rsidRPr="00BE69A1">
        <w:t xml:space="preserve">Any prior authorization received after hours or on the weekend that requires prior authorization will be reviewed in accordance with the authorization timelines listed </w:t>
      </w:r>
      <w:r>
        <w:t>below.</w:t>
      </w:r>
      <w:r w:rsidR="00E54F5A">
        <w:t xml:space="preserve"> </w:t>
      </w:r>
      <w:r>
        <w:t>E</w:t>
      </w:r>
      <w:r w:rsidRPr="00BE69A1">
        <w:t>mergent conditions do not require prior authorization</w:t>
      </w:r>
      <w:r w:rsidR="00E54F5A">
        <w:t xml:space="preserve">. All requests will be reviewed and </w:t>
      </w:r>
      <w:r w:rsidR="00E54F5A" w:rsidRPr="00E54F5A">
        <w:t>provide notice as expeditiously as the member's health or behavioral health condition requires</w:t>
      </w:r>
      <w:r w:rsidR="00E54F5A">
        <w:t>.</w:t>
      </w:r>
      <w:r w:rsidR="004658A6">
        <w:t xml:space="preserve"> </w:t>
      </w:r>
      <w:r w:rsidR="004658A6" w:rsidRPr="004658A6">
        <w:t>Any service authorization decision not reached within the timeframes specified under OAR 410-141-3835</w:t>
      </w:r>
      <w:r w:rsidR="004658A6">
        <w:t xml:space="preserve"> as noted below, </w:t>
      </w:r>
      <w:r w:rsidR="004658A6" w:rsidRPr="004658A6">
        <w:t xml:space="preserve">shall constitute a denial </w:t>
      </w:r>
      <w:r w:rsidR="004658A6">
        <w:t>(</w:t>
      </w:r>
      <w:r w:rsidR="004658A6" w:rsidRPr="004658A6">
        <w:t>adverse benefit determination</w:t>
      </w:r>
      <w:r w:rsidR="004658A6">
        <w:t>)</w:t>
      </w:r>
      <w:r w:rsidR="004658A6" w:rsidRPr="004658A6">
        <w:t>. A notice of adverse benefit determination shall be issued on the date the timeframe expires.</w:t>
      </w: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3870"/>
        <w:gridCol w:w="3420"/>
      </w:tblGrid>
      <w:tr w:rsidR="000B7569" w:rsidRPr="000E42AC" w:rsidDel="00147EFF" w14:paraId="0EA06DE7" w14:textId="77777777" w:rsidTr="000B7569">
        <w:tc>
          <w:tcPr>
            <w:tcW w:w="6205" w:type="dxa"/>
            <w:shd w:val="clear" w:color="auto" w:fill="AEAAAA" w:themeFill="background2" w:themeFillShade="BF"/>
          </w:tcPr>
          <w:p w14:paraId="16A1C232" w14:textId="77777777" w:rsidR="000B7569" w:rsidRPr="000E42AC" w:rsidRDefault="000B7569" w:rsidP="00AA4A42">
            <w:pPr>
              <w:spacing w:after="0"/>
              <w:jc w:val="center"/>
              <w:rPr>
                <w:rFonts w:cs="Times New Roman"/>
                <w:color w:val="FFFFFF" w:themeColor="background1"/>
                <w:szCs w:val="24"/>
              </w:rPr>
            </w:pPr>
            <w:r w:rsidRPr="000E42AC">
              <w:rPr>
                <w:rFonts w:cs="Times New Roman"/>
                <w:color w:val="FFFFFF" w:themeColor="background1"/>
                <w:szCs w:val="24"/>
              </w:rPr>
              <w:t>Authorization Type</w:t>
            </w:r>
          </w:p>
        </w:tc>
        <w:tc>
          <w:tcPr>
            <w:tcW w:w="3870" w:type="dxa"/>
            <w:shd w:val="clear" w:color="auto" w:fill="AEAAAA" w:themeFill="background2" w:themeFillShade="BF"/>
          </w:tcPr>
          <w:p w14:paraId="56A3BB39" w14:textId="77777777" w:rsidR="000B7569" w:rsidRPr="000E42AC" w:rsidRDefault="000B7569" w:rsidP="00AA4A42">
            <w:pPr>
              <w:spacing w:after="0"/>
              <w:jc w:val="center"/>
              <w:rPr>
                <w:rFonts w:cs="Times New Roman"/>
                <w:color w:val="FFFFFF" w:themeColor="background1"/>
                <w:szCs w:val="24"/>
              </w:rPr>
            </w:pPr>
            <w:r w:rsidRPr="000E42AC">
              <w:rPr>
                <w:rFonts w:cs="Times New Roman"/>
                <w:color w:val="FFFFFF" w:themeColor="background1"/>
                <w:szCs w:val="24"/>
              </w:rPr>
              <w:t>Timeline</w:t>
            </w:r>
          </w:p>
        </w:tc>
        <w:tc>
          <w:tcPr>
            <w:tcW w:w="3420" w:type="dxa"/>
            <w:shd w:val="clear" w:color="auto" w:fill="AEAAAA" w:themeFill="background2" w:themeFillShade="BF"/>
          </w:tcPr>
          <w:p w14:paraId="62526959" w14:textId="77777777" w:rsidR="000B7569" w:rsidRPr="000E42AC" w:rsidRDefault="000B7569" w:rsidP="00AA4A42">
            <w:pPr>
              <w:spacing w:after="0"/>
              <w:jc w:val="center"/>
              <w:rPr>
                <w:rFonts w:cs="Times New Roman"/>
                <w:color w:val="FFFFFF" w:themeColor="background1"/>
                <w:szCs w:val="24"/>
              </w:rPr>
            </w:pPr>
            <w:r w:rsidRPr="000E42AC">
              <w:rPr>
                <w:rFonts w:cs="Times New Roman"/>
                <w:color w:val="FFFFFF" w:themeColor="background1"/>
                <w:szCs w:val="24"/>
              </w:rPr>
              <w:t>Urgency</w:t>
            </w:r>
          </w:p>
        </w:tc>
      </w:tr>
      <w:tr w:rsidR="000B7569" w:rsidRPr="000E42AC" w:rsidDel="00147EFF" w14:paraId="1CD62AAE" w14:textId="77777777" w:rsidTr="000B7569">
        <w:tc>
          <w:tcPr>
            <w:tcW w:w="6205" w:type="dxa"/>
            <w:shd w:val="clear" w:color="auto" w:fill="auto"/>
          </w:tcPr>
          <w:p w14:paraId="41E9A935" w14:textId="545A5951" w:rsidR="000B7569" w:rsidRPr="000B7569" w:rsidRDefault="000B7569" w:rsidP="000B7569">
            <w:pPr>
              <w:spacing w:after="0"/>
              <w:rPr>
                <w:rFonts w:cs="Times New Roman"/>
                <w:szCs w:val="24"/>
              </w:rPr>
            </w:pPr>
            <w:r w:rsidRPr="000E42AC">
              <w:rPr>
                <w:rFonts w:cs="Times New Roman"/>
                <w:szCs w:val="24"/>
              </w:rPr>
              <w:t xml:space="preserve">Standard requests </w:t>
            </w:r>
          </w:p>
        </w:tc>
        <w:tc>
          <w:tcPr>
            <w:tcW w:w="3870" w:type="dxa"/>
            <w:shd w:val="clear" w:color="auto" w:fill="auto"/>
          </w:tcPr>
          <w:p w14:paraId="3C0D205C" w14:textId="23B8C140" w:rsidR="000B7569" w:rsidRPr="000E42AC" w:rsidRDefault="000B7569" w:rsidP="000B7569">
            <w:pPr>
              <w:spacing w:after="0"/>
              <w:jc w:val="center"/>
              <w:rPr>
                <w:rFonts w:cs="Times New Roman"/>
                <w:color w:val="FFFFFF" w:themeColor="background1"/>
                <w:szCs w:val="24"/>
              </w:rPr>
            </w:pPr>
            <w:r w:rsidRPr="000E42AC">
              <w:rPr>
                <w:rFonts w:cs="Times New Roman"/>
                <w:szCs w:val="24"/>
              </w:rPr>
              <w:t>14 days</w:t>
            </w:r>
          </w:p>
        </w:tc>
        <w:tc>
          <w:tcPr>
            <w:tcW w:w="3420" w:type="dxa"/>
            <w:shd w:val="clear" w:color="auto" w:fill="auto"/>
          </w:tcPr>
          <w:p w14:paraId="5E9F358C" w14:textId="01DA6C9A" w:rsidR="000B7569" w:rsidRPr="000E42AC" w:rsidRDefault="000B7569" w:rsidP="000B7569">
            <w:pPr>
              <w:spacing w:after="0"/>
              <w:jc w:val="center"/>
              <w:rPr>
                <w:rFonts w:cs="Times New Roman"/>
                <w:color w:val="FFFFFF" w:themeColor="background1"/>
                <w:szCs w:val="24"/>
              </w:rPr>
            </w:pPr>
            <w:r w:rsidRPr="000E42AC">
              <w:rPr>
                <w:rFonts w:cs="Times New Roman"/>
                <w:szCs w:val="24"/>
              </w:rPr>
              <w:t>Standard</w:t>
            </w:r>
          </w:p>
        </w:tc>
      </w:tr>
      <w:tr w:rsidR="000B7569" w:rsidRPr="000E42AC" w:rsidDel="00147EFF" w14:paraId="2832CB6B" w14:textId="77777777" w:rsidTr="000B7569">
        <w:tc>
          <w:tcPr>
            <w:tcW w:w="6205" w:type="dxa"/>
            <w:shd w:val="clear" w:color="auto" w:fill="auto"/>
          </w:tcPr>
          <w:p w14:paraId="0C071F2E" w14:textId="63BE6EA3" w:rsidR="0007019B" w:rsidRDefault="000B7569" w:rsidP="000B7569">
            <w:pPr>
              <w:spacing w:after="0"/>
              <w:rPr>
                <w:rFonts w:cs="Times New Roman"/>
                <w:szCs w:val="24"/>
              </w:rPr>
            </w:pPr>
            <w:r w:rsidRPr="000E42AC">
              <w:rPr>
                <w:rFonts w:cs="Times New Roman"/>
                <w:szCs w:val="24"/>
              </w:rPr>
              <w:t>Expedite</w:t>
            </w:r>
            <w:r w:rsidR="00AD76F9">
              <w:rPr>
                <w:rFonts w:cs="Times New Roman"/>
                <w:szCs w:val="24"/>
              </w:rPr>
              <w:t xml:space="preserve"> </w:t>
            </w:r>
            <w:r w:rsidR="00EE1766">
              <w:rPr>
                <w:rFonts w:cs="Times New Roman"/>
                <w:szCs w:val="24"/>
              </w:rPr>
              <w:t>requests.</w:t>
            </w:r>
          </w:p>
          <w:p w14:paraId="7B4664DE" w14:textId="4AEE20D1" w:rsidR="000B7569" w:rsidRPr="0007019B" w:rsidRDefault="0007019B" w:rsidP="00F648F9">
            <w:pPr>
              <w:pStyle w:val="ListParagraph"/>
              <w:numPr>
                <w:ilvl w:val="0"/>
                <w:numId w:val="16"/>
              </w:numPr>
              <w:spacing w:after="0"/>
              <w:rPr>
                <w:rFonts w:cs="Times New Roman"/>
                <w:szCs w:val="24"/>
              </w:rPr>
            </w:pPr>
            <w:r w:rsidRPr="0007019B">
              <w:rPr>
                <w:rFonts w:cs="Times New Roman"/>
                <w:szCs w:val="24"/>
              </w:rPr>
              <w:t>S</w:t>
            </w:r>
            <w:r w:rsidR="00AD76F9" w:rsidRPr="0007019B">
              <w:rPr>
                <w:rFonts w:cs="Times New Roman"/>
                <w:szCs w:val="24"/>
              </w:rPr>
              <w:t xml:space="preserve">elect only when the standard </w:t>
            </w:r>
            <w:r w:rsidR="00AD76F9">
              <w:rPr>
                <w:rStyle w:val="normaltextrun"/>
              </w:rPr>
              <w:t xml:space="preserve">review timeframe could seriously jeopardize the member's life, health, or </w:t>
            </w:r>
            <w:r w:rsidR="00AD76F9">
              <w:rPr>
                <w:rStyle w:val="normaltextrun"/>
              </w:rPr>
              <w:lastRenderedPageBreak/>
              <w:t>ability to attain, maintain, or regain maximum function" in accordance with 42 CFR 438.210(d)(2)(i))</w:t>
            </w:r>
          </w:p>
        </w:tc>
        <w:tc>
          <w:tcPr>
            <w:tcW w:w="3870" w:type="dxa"/>
            <w:shd w:val="clear" w:color="auto" w:fill="auto"/>
          </w:tcPr>
          <w:p w14:paraId="56988358" w14:textId="0D29066B" w:rsidR="000B7569" w:rsidRPr="000E42AC" w:rsidRDefault="000B7569" w:rsidP="000B7569">
            <w:pPr>
              <w:spacing w:after="0"/>
              <w:jc w:val="center"/>
              <w:rPr>
                <w:rFonts w:cs="Times New Roman"/>
                <w:color w:val="FFFFFF" w:themeColor="background1"/>
                <w:szCs w:val="24"/>
              </w:rPr>
            </w:pPr>
            <w:r w:rsidRPr="000E42AC">
              <w:rPr>
                <w:rFonts w:cs="Times New Roman"/>
                <w:szCs w:val="24"/>
              </w:rPr>
              <w:lastRenderedPageBreak/>
              <w:t>72 hours</w:t>
            </w:r>
          </w:p>
        </w:tc>
        <w:tc>
          <w:tcPr>
            <w:tcW w:w="3420" w:type="dxa"/>
            <w:shd w:val="clear" w:color="auto" w:fill="auto"/>
          </w:tcPr>
          <w:p w14:paraId="33F3B9FC" w14:textId="79E7FAD4" w:rsidR="000B7569" w:rsidRPr="000E42AC" w:rsidRDefault="000B7569" w:rsidP="000B7569">
            <w:pPr>
              <w:spacing w:after="0"/>
              <w:jc w:val="center"/>
              <w:rPr>
                <w:rFonts w:cs="Times New Roman"/>
                <w:color w:val="FFFFFF" w:themeColor="background1"/>
                <w:szCs w:val="24"/>
              </w:rPr>
            </w:pPr>
            <w:r w:rsidRPr="000E42AC">
              <w:rPr>
                <w:rFonts w:cs="Times New Roman"/>
                <w:szCs w:val="24"/>
              </w:rPr>
              <w:t>Expedite</w:t>
            </w:r>
          </w:p>
        </w:tc>
      </w:tr>
      <w:tr w:rsidR="000B7569" w:rsidRPr="000E42AC" w:rsidDel="00147EFF" w14:paraId="0A115DDE" w14:textId="77777777" w:rsidTr="00AA4A42">
        <w:tc>
          <w:tcPr>
            <w:tcW w:w="6205" w:type="dxa"/>
          </w:tcPr>
          <w:p w14:paraId="3BA4DFFB" w14:textId="77777777" w:rsidR="000B7569" w:rsidRPr="000E42AC" w:rsidRDefault="000B7569" w:rsidP="00AA4A42">
            <w:pPr>
              <w:spacing w:after="0"/>
              <w:rPr>
                <w:rFonts w:cs="Times New Roman"/>
                <w:szCs w:val="24"/>
              </w:rPr>
            </w:pPr>
            <w:r w:rsidRPr="000E42AC">
              <w:rPr>
                <w:rFonts w:cs="Times New Roman"/>
                <w:szCs w:val="24"/>
              </w:rPr>
              <w:t>Behavioral Health - SUD - Detox</w:t>
            </w:r>
          </w:p>
          <w:p w14:paraId="3F316857" w14:textId="77777777" w:rsidR="000B7569" w:rsidRPr="000E42AC" w:rsidRDefault="000B7569" w:rsidP="00AA4A42">
            <w:pPr>
              <w:spacing w:after="0"/>
              <w:rPr>
                <w:rFonts w:cs="Times New Roman"/>
                <w:szCs w:val="24"/>
              </w:rPr>
            </w:pPr>
            <w:r w:rsidRPr="000E42AC">
              <w:rPr>
                <w:rFonts w:cs="Times New Roman"/>
                <w:szCs w:val="24"/>
              </w:rPr>
              <w:t>Behavioral Health - SUD - Residential</w:t>
            </w:r>
          </w:p>
        </w:tc>
        <w:tc>
          <w:tcPr>
            <w:tcW w:w="3870" w:type="dxa"/>
          </w:tcPr>
          <w:p w14:paraId="657CA85F" w14:textId="77777777" w:rsidR="000B7569" w:rsidRPr="000E42AC" w:rsidRDefault="000B7569" w:rsidP="00213D6A">
            <w:pPr>
              <w:spacing w:after="0"/>
              <w:jc w:val="center"/>
              <w:rPr>
                <w:rFonts w:cs="Times New Roman"/>
                <w:szCs w:val="24"/>
              </w:rPr>
            </w:pPr>
            <w:r w:rsidRPr="000E42AC">
              <w:rPr>
                <w:rFonts w:cs="Times New Roman"/>
                <w:szCs w:val="24"/>
              </w:rPr>
              <w:t>2 BD</w:t>
            </w:r>
          </w:p>
        </w:tc>
        <w:tc>
          <w:tcPr>
            <w:tcW w:w="3420" w:type="dxa"/>
          </w:tcPr>
          <w:p w14:paraId="7A542B63" w14:textId="77777777" w:rsidR="000B7569" w:rsidRPr="000E42AC" w:rsidRDefault="000B7569" w:rsidP="00213D6A">
            <w:pPr>
              <w:spacing w:after="0"/>
              <w:jc w:val="center"/>
              <w:rPr>
                <w:rFonts w:cs="Times New Roman"/>
                <w:szCs w:val="24"/>
              </w:rPr>
            </w:pPr>
            <w:r w:rsidRPr="000E42AC">
              <w:rPr>
                <w:rFonts w:cs="Times New Roman"/>
                <w:szCs w:val="24"/>
              </w:rPr>
              <w:t>Standard</w:t>
            </w:r>
          </w:p>
        </w:tc>
      </w:tr>
      <w:tr w:rsidR="000B7569" w:rsidRPr="000E42AC" w:rsidDel="00147EFF" w14:paraId="1433A020" w14:textId="77777777" w:rsidTr="00AA4A42">
        <w:tc>
          <w:tcPr>
            <w:tcW w:w="6205" w:type="dxa"/>
          </w:tcPr>
          <w:p w14:paraId="574ACC83" w14:textId="77777777" w:rsidR="000B7569" w:rsidRPr="000E42AC" w:rsidRDefault="000B7569" w:rsidP="00AA4A42">
            <w:pPr>
              <w:spacing w:after="0"/>
              <w:rPr>
                <w:rFonts w:cs="Times New Roman"/>
                <w:szCs w:val="24"/>
              </w:rPr>
            </w:pPr>
            <w:r w:rsidRPr="000E42AC">
              <w:rPr>
                <w:rFonts w:cs="Times New Roman"/>
                <w:szCs w:val="24"/>
              </w:rPr>
              <w:t>Skilled Nursing Facility (SNF)</w:t>
            </w:r>
          </w:p>
        </w:tc>
        <w:tc>
          <w:tcPr>
            <w:tcW w:w="3870" w:type="dxa"/>
          </w:tcPr>
          <w:p w14:paraId="6B94A6A3" w14:textId="77777777" w:rsidR="000B7569" w:rsidRPr="000E42AC" w:rsidRDefault="000B7569" w:rsidP="00213D6A">
            <w:pPr>
              <w:spacing w:after="0"/>
              <w:jc w:val="center"/>
              <w:rPr>
                <w:rFonts w:cs="Times New Roman"/>
                <w:szCs w:val="24"/>
              </w:rPr>
            </w:pPr>
            <w:r w:rsidRPr="000E42AC">
              <w:rPr>
                <w:rFonts w:cs="Times New Roman"/>
                <w:szCs w:val="24"/>
              </w:rPr>
              <w:t>2 BD</w:t>
            </w:r>
          </w:p>
        </w:tc>
        <w:tc>
          <w:tcPr>
            <w:tcW w:w="3420" w:type="dxa"/>
          </w:tcPr>
          <w:p w14:paraId="40C9AE61" w14:textId="77777777" w:rsidR="000B7569" w:rsidRPr="000E42AC" w:rsidRDefault="000B7569" w:rsidP="00213D6A">
            <w:pPr>
              <w:spacing w:after="0"/>
              <w:jc w:val="center"/>
              <w:rPr>
                <w:rFonts w:cs="Times New Roman"/>
                <w:szCs w:val="24"/>
              </w:rPr>
            </w:pPr>
            <w:r w:rsidRPr="000E42AC">
              <w:rPr>
                <w:rFonts w:cs="Times New Roman"/>
                <w:szCs w:val="24"/>
              </w:rPr>
              <w:t>Standard</w:t>
            </w:r>
          </w:p>
        </w:tc>
      </w:tr>
      <w:tr w:rsidR="000B7569" w:rsidRPr="000E42AC" w:rsidDel="00147EFF" w14:paraId="3C2A66D2" w14:textId="77777777" w:rsidTr="00AA4A42">
        <w:tc>
          <w:tcPr>
            <w:tcW w:w="6205" w:type="dxa"/>
          </w:tcPr>
          <w:p w14:paraId="1B9299C9" w14:textId="77777777" w:rsidR="000B7569" w:rsidRPr="000E42AC" w:rsidRDefault="000B7569" w:rsidP="00AA4A42">
            <w:pPr>
              <w:spacing w:after="0"/>
              <w:rPr>
                <w:rFonts w:cs="Times New Roman"/>
                <w:szCs w:val="24"/>
              </w:rPr>
            </w:pPr>
            <w:r w:rsidRPr="000E42AC">
              <w:rPr>
                <w:rFonts w:cs="Times New Roman"/>
                <w:szCs w:val="24"/>
              </w:rPr>
              <w:t>Behavioral Health - IP Adult</w:t>
            </w:r>
          </w:p>
          <w:p w14:paraId="6222634C" w14:textId="77777777" w:rsidR="000B7569" w:rsidRPr="000E42AC" w:rsidRDefault="000B7569" w:rsidP="00AA4A42">
            <w:pPr>
              <w:spacing w:after="0"/>
              <w:rPr>
                <w:rFonts w:cs="Times New Roman"/>
                <w:szCs w:val="24"/>
              </w:rPr>
            </w:pPr>
            <w:r w:rsidRPr="000E42AC">
              <w:rPr>
                <w:rFonts w:cs="Times New Roman"/>
                <w:szCs w:val="24"/>
              </w:rPr>
              <w:t>Behavioral Health - IP Child</w:t>
            </w:r>
          </w:p>
          <w:p w14:paraId="5C484C0D" w14:textId="77777777" w:rsidR="000B7569" w:rsidRPr="000E42AC" w:rsidRDefault="000B7569" w:rsidP="00AA4A42">
            <w:pPr>
              <w:spacing w:after="0"/>
              <w:rPr>
                <w:rFonts w:cs="Times New Roman"/>
                <w:szCs w:val="24"/>
              </w:rPr>
            </w:pPr>
            <w:r w:rsidRPr="000E42AC">
              <w:rPr>
                <w:rFonts w:cs="Times New Roman"/>
                <w:szCs w:val="24"/>
              </w:rPr>
              <w:t>Behavioral Health - PRTS</w:t>
            </w:r>
          </w:p>
          <w:p w14:paraId="5C9A68B6" w14:textId="77777777" w:rsidR="000B7569" w:rsidRPr="000E42AC" w:rsidRDefault="000B7569" w:rsidP="00AA4A42">
            <w:pPr>
              <w:spacing w:after="0"/>
              <w:rPr>
                <w:rFonts w:cs="Times New Roman"/>
                <w:szCs w:val="24"/>
              </w:rPr>
            </w:pPr>
            <w:r w:rsidRPr="000E42AC">
              <w:rPr>
                <w:rFonts w:cs="Times New Roman"/>
                <w:szCs w:val="24"/>
              </w:rPr>
              <w:t>Behavioral Health - Res Adult</w:t>
            </w:r>
          </w:p>
        </w:tc>
        <w:tc>
          <w:tcPr>
            <w:tcW w:w="3870" w:type="dxa"/>
          </w:tcPr>
          <w:p w14:paraId="2AAFEDBA" w14:textId="77777777" w:rsidR="000B7569" w:rsidRPr="000E42AC" w:rsidRDefault="000B7569" w:rsidP="00213D6A">
            <w:pPr>
              <w:spacing w:after="0"/>
              <w:jc w:val="center"/>
              <w:rPr>
                <w:rFonts w:cs="Times New Roman"/>
                <w:szCs w:val="24"/>
              </w:rPr>
            </w:pPr>
            <w:r w:rsidRPr="000E42AC">
              <w:rPr>
                <w:rFonts w:cs="Times New Roman"/>
                <w:szCs w:val="24"/>
              </w:rPr>
              <w:t>72 hours</w:t>
            </w:r>
          </w:p>
        </w:tc>
        <w:tc>
          <w:tcPr>
            <w:tcW w:w="3420" w:type="dxa"/>
          </w:tcPr>
          <w:p w14:paraId="3A3FC9B8" w14:textId="77777777" w:rsidR="000B7569" w:rsidRPr="000E42AC" w:rsidRDefault="000B7569" w:rsidP="00213D6A">
            <w:pPr>
              <w:spacing w:after="0"/>
              <w:jc w:val="center"/>
              <w:rPr>
                <w:rFonts w:cs="Times New Roman"/>
                <w:szCs w:val="24"/>
              </w:rPr>
            </w:pPr>
            <w:r w:rsidRPr="000E42AC">
              <w:rPr>
                <w:rFonts w:cs="Times New Roman"/>
                <w:szCs w:val="24"/>
              </w:rPr>
              <w:t>Standard</w:t>
            </w:r>
          </w:p>
        </w:tc>
      </w:tr>
      <w:tr w:rsidR="00BB1577" w:rsidRPr="000E42AC" w:rsidDel="00147EFF" w14:paraId="087F488B" w14:textId="77777777" w:rsidTr="00AA4A42">
        <w:tc>
          <w:tcPr>
            <w:tcW w:w="6205" w:type="dxa"/>
          </w:tcPr>
          <w:p w14:paraId="6FDF9BCE" w14:textId="6EDE1C70" w:rsidR="00BB1577" w:rsidRDefault="0007019B" w:rsidP="00AA4A42">
            <w:pPr>
              <w:spacing w:after="0"/>
              <w:rPr>
                <w:rFonts w:cs="Times New Roman"/>
                <w:szCs w:val="24"/>
              </w:rPr>
            </w:pPr>
            <w:r>
              <w:rPr>
                <w:rFonts w:cs="Times New Roman"/>
                <w:szCs w:val="24"/>
              </w:rPr>
              <w:t>Timeframe extensions</w:t>
            </w:r>
          </w:p>
          <w:p w14:paraId="62BEBB51" w14:textId="793FDA80" w:rsidR="00D742E4" w:rsidRPr="00D742E4" w:rsidRDefault="00D742E4" w:rsidP="00F648F9">
            <w:pPr>
              <w:pStyle w:val="ListParagraph"/>
              <w:numPr>
                <w:ilvl w:val="0"/>
                <w:numId w:val="16"/>
              </w:numPr>
              <w:spacing w:after="0"/>
              <w:rPr>
                <w:rFonts w:cs="Times New Roman"/>
                <w:szCs w:val="24"/>
              </w:rPr>
            </w:pPr>
            <w:r w:rsidRPr="00D742E4">
              <w:rPr>
                <w:rFonts w:cs="Times New Roman"/>
                <w:szCs w:val="24"/>
              </w:rPr>
              <w:t>These can occur if the member or the provider requests an extension, or UHA justifies a need for additional information</w:t>
            </w:r>
            <w:r>
              <w:rPr>
                <w:rFonts w:cs="Times New Roman"/>
                <w:szCs w:val="24"/>
              </w:rPr>
              <w:t xml:space="preserve">. It will include </w:t>
            </w:r>
            <w:r w:rsidRPr="00D742E4">
              <w:rPr>
                <w:rFonts w:cs="Times New Roman"/>
                <w:szCs w:val="24"/>
              </w:rPr>
              <w:t>how the extension is in the member’s interest.</w:t>
            </w:r>
          </w:p>
          <w:p w14:paraId="249F7693" w14:textId="201960F3" w:rsidR="00D742E4" w:rsidRPr="00D742E4" w:rsidRDefault="00D742E4" w:rsidP="00F648F9">
            <w:pPr>
              <w:pStyle w:val="ListParagraph"/>
              <w:numPr>
                <w:ilvl w:val="0"/>
                <w:numId w:val="16"/>
              </w:numPr>
              <w:spacing w:after="0"/>
              <w:rPr>
                <w:rFonts w:cs="Times New Roman"/>
                <w:szCs w:val="24"/>
              </w:rPr>
            </w:pPr>
            <w:r w:rsidRPr="00D742E4">
              <w:rPr>
                <w:rFonts w:cs="Times New Roman"/>
                <w:szCs w:val="24"/>
              </w:rPr>
              <w:t xml:space="preserve">If the </w:t>
            </w:r>
            <w:r>
              <w:rPr>
                <w:rFonts w:cs="Times New Roman"/>
                <w:szCs w:val="24"/>
              </w:rPr>
              <w:t>UHA e</w:t>
            </w:r>
            <w:r w:rsidRPr="00D742E4">
              <w:rPr>
                <w:rFonts w:cs="Times New Roman"/>
                <w:szCs w:val="24"/>
              </w:rPr>
              <w:t xml:space="preserve">xtends the time frame for standard or expedited authorization decisions, </w:t>
            </w:r>
            <w:r>
              <w:rPr>
                <w:rFonts w:cs="Times New Roman"/>
                <w:szCs w:val="24"/>
              </w:rPr>
              <w:t>we will let the member know</w:t>
            </w:r>
            <w:r w:rsidR="00EA671F">
              <w:rPr>
                <w:rFonts w:cs="Times New Roman"/>
                <w:szCs w:val="24"/>
              </w:rPr>
              <w:t xml:space="preserve"> the reason for the extension</w:t>
            </w:r>
            <w:r>
              <w:rPr>
                <w:rFonts w:cs="Times New Roman"/>
                <w:szCs w:val="24"/>
              </w:rPr>
              <w:t xml:space="preserve"> </w:t>
            </w:r>
            <w:r w:rsidR="00EA671F">
              <w:rPr>
                <w:rFonts w:cs="Times New Roman"/>
                <w:szCs w:val="24"/>
              </w:rPr>
              <w:t xml:space="preserve">in writing before the end of the  </w:t>
            </w:r>
            <w:r w:rsidRPr="00D742E4">
              <w:rPr>
                <w:rFonts w:cs="Times New Roman"/>
                <w:szCs w:val="24"/>
              </w:rPr>
              <w:t>authorization time frame expires.</w:t>
            </w:r>
            <w:r w:rsidR="00EA671F">
              <w:rPr>
                <w:rFonts w:cs="Times New Roman"/>
                <w:szCs w:val="24"/>
              </w:rPr>
              <w:t xml:space="preserve"> This letter will let them know that they can file a </w:t>
            </w:r>
            <w:r w:rsidRPr="00D742E4">
              <w:rPr>
                <w:rFonts w:cs="Times New Roman"/>
                <w:szCs w:val="24"/>
              </w:rPr>
              <w:t xml:space="preserve">grievance </w:t>
            </w:r>
            <w:r w:rsidR="00EA671F">
              <w:rPr>
                <w:rFonts w:cs="Times New Roman"/>
                <w:szCs w:val="24"/>
              </w:rPr>
              <w:t>they</w:t>
            </w:r>
            <w:r w:rsidRPr="00D742E4">
              <w:rPr>
                <w:rFonts w:cs="Times New Roman"/>
                <w:szCs w:val="24"/>
              </w:rPr>
              <w:t xml:space="preserve"> </w:t>
            </w:r>
            <w:r w:rsidR="00DA4F51" w:rsidRPr="00D742E4">
              <w:rPr>
                <w:rFonts w:cs="Times New Roman"/>
                <w:szCs w:val="24"/>
              </w:rPr>
              <w:t>disagree</w:t>
            </w:r>
            <w:r w:rsidRPr="00D742E4">
              <w:rPr>
                <w:rFonts w:cs="Times New Roman"/>
                <w:szCs w:val="24"/>
              </w:rPr>
              <w:t xml:space="preserve"> with that decision.</w:t>
            </w:r>
          </w:p>
          <w:p w14:paraId="59F5D891" w14:textId="0BBF9B85" w:rsidR="00DF620A" w:rsidRPr="00DF620A" w:rsidRDefault="00EA671F" w:rsidP="00F648F9">
            <w:pPr>
              <w:pStyle w:val="ListParagraph"/>
              <w:numPr>
                <w:ilvl w:val="0"/>
                <w:numId w:val="16"/>
              </w:numPr>
              <w:spacing w:after="0"/>
              <w:rPr>
                <w:rFonts w:cs="Times New Roman"/>
                <w:szCs w:val="24"/>
              </w:rPr>
            </w:pPr>
            <w:r>
              <w:rPr>
                <w:rFonts w:cs="Times New Roman"/>
                <w:szCs w:val="24"/>
              </w:rPr>
              <w:t xml:space="preserve">An extension will be </w:t>
            </w:r>
            <w:r w:rsidR="00DA4F51">
              <w:rPr>
                <w:rFonts w:cs="Times New Roman"/>
                <w:szCs w:val="24"/>
              </w:rPr>
              <w:t xml:space="preserve">processed </w:t>
            </w:r>
            <w:r w:rsidR="00D742E4" w:rsidRPr="00D742E4">
              <w:rPr>
                <w:rFonts w:cs="Times New Roman"/>
                <w:szCs w:val="24"/>
              </w:rPr>
              <w:t>expeditiously as the member's health condition requires and no later than the date the extension expires.</w:t>
            </w:r>
          </w:p>
          <w:p w14:paraId="3734BD37" w14:textId="6E814276" w:rsidR="0007019B" w:rsidRPr="000E42AC" w:rsidRDefault="0007019B" w:rsidP="00AA4A42">
            <w:pPr>
              <w:spacing w:after="0"/>
              <w:rPr>
                <w:rFonts w:cs="Times New Roman"/>
                <w:szCs w:val="24"/>
              </w:rPr>
            </w:pPr>
          </w:p>
        </w:tc>
        <w:tc>
          <w:tcPr>
            <w:tcW w:w="3870" w:type="dxa"/>
          </w:tcPr>
          <w:p w14:paraId="7D4BC5C3" w14:textId="59C583CA" w:rsidR="00BB1577" w:rsidRPr="000E42AC" w:rsidRDefault="00D742E4" w:rsidP="00213D6A">
            <w:pPr>
              <w:spacing w:after="0"/>
              <w:jc w:val="center"/>
              <w:rPr>
                <w:rFonts w:cs="Times New Roman"/>
                <w:szCs w:val="24"/>
              </w:rPr>
            </w:pPr>
            <w:r>
              <w:rPr>
                <w:rFonts w:cs="Times New Roman"/>
                <w:szCs w:val="24"/>
              </w:rPr>
              <w:t xml:space="preserve">14 days </w:t>
            </w:r>
          </w:p>
        </w:tc>
        <w:tc>
          <w:tcPr>
            <w:tcW w:w="3420" w:type="dxa"/>
          </w:tcPr>
          <w:p w14:paraId="5EEEC16D" w14:textId="0ADA934C" w:rsidR="00BB1577" w:rsidRPr="000E42AC" w:rsidRDefault="00D742E4" w:rsidP="00213D6A">
            <w:pPr>
              <w:spacing w:after="0"/>
              <w:jc w:val="center"/>
              <w:rPr>
                <w:rFonts w:cs="Times New Roman"/>
                <w:szCs w:val="24"/>
              </w:rPr>
            </w:pPr>
            <w:r>
              <w:rPr>
                <w:rFonts w:cs="Times New Roman"/>
                <w:szCs w:val="24"/>
              </w:rPr>
              <w:t>Standard/Expedite</w:t>
            </w:r>
          </w:p>
        </w:tc>
      </w:tr>
    </w:tbl>
    <w:p w14:paraId="31D48D6C" w14:textId="77777777" w:rsidR="00B779CB" w:rsidRPr="000B7569" w:rsidRDefault="00B779CB" w:rsidP="000B7569">
      <w:pPr>
        <w:rPr>
          <w:rFonts w:cs="Times New Roman"/>
          <w:szCs w:val="24"/>
        </w:rPr>
      </w:pPr>
    </w:p>
    <w:p w14:paraId="0EDEB60D" w14:textId="75326580" w:rsidR="00B85550" w:rsidRPr="005E426A" w:rsidRDefault="005E426A" w:rsidP="00997FC0">
      <w:pPr>
        <w:pStyle w:val="Heading3"/>
        <w:rPr>
          <w:rFonts w:ascii="Arial" w:hAnsi="Arial" w:cs="Arial"/>
          <w:b/>
          <w:color w:val="006892"/>
        </w:rPr>
      </w:pPr>
      <w:r w:rsidRPr="005E426A">
        <w:rPr>
          <w:rFonts w:ascii="Arial" w:hAnsi="Arial" w:cs="Arial"/>
          <w:b/>
          <w:color w:val="006892"/>
        </w:rPr>
        <w:t xml:space="preserve">COMMUNICATIONS </w:t>
      </w:r>
    </w:p>
    <w:p w14:paraId="08A99E1A" w14:textId="665BED4F" w:rsidR="00B85550" w:rsidRDefault="00B85550" w:rsidP="00AD76F9">
      <w:r>
        <w:t xml:space="preserve">All PA communications should be made through PA request to </w:t>
      </w:r>
      <w:hyperlink r:id="rId15" w:history="1">
        <w:r w:rsidRPr="00C22F8B">
          <w:rPr>
            <w:rStyle w:val="Hyperlink"/>
          </w:rPr>
          <w:t>Priorauthorizations@umpquahealth.com</w:t>
        </w:r>
      </w:hyperlink>
      <w:r>
        <w:t>.</w:t>
      </w:r>
      <w:r w:rsidR="005E426A">
        <w:t xml:space="preserve"> </w:t>
      </w:r>
      <w:r>
        <w:t>Please utilize the CIM email function for communications with UHA staff as they pertain to prior authorizations. These communications provide important clarifications that affect the review of the PA, notices of determination, and requests for documentation.</w:t>
      </w:r>
      <w:r w:rsidR="005E426A">
        <w:t xml:space="preserve"> </w:t>
      </w:r>
      <w:r>
        <w:t xml:space="preserve">Communications for past due information will be </w:t>
      </w:r>
      <w:r>
        <w:lastRenderedPageBreak/>
        <w:t>processed through the approved PA request by our support specialist team. Please reply with any updated information</w:t>
      </w:r>
      <w:r w:rsidRPr="00AB2441">
        <w:t xml:space="preserve"> to </w:t>
      </w:r>
      <w:hyperlink r:id="rId16" w:history="1">
        <w:r w:rsidRPr="00AB2441">
          <w:rPr>
            <w:rStyle w:val="Hyperlink"/>
          </w:rPr>
          <w:t>PriorAuthorizations@umpquahealth.com</w:t>
        </w:r>
      </w:hyperlink>
      <w:r w:rsidRPr="00AB2441">
        <w:t xml:space="preserve"> and attaching the documentation to the PA in reference.</w:t>
      </w:r>
      <w:r>
        <w:br/>
      </w:r>
    </w:p>
    <w:p w14:paraId="2166399F" w14:textId="6D1BB832" w:rsidR="00B85550" w:rsidRPr="005E426A" w:rsidRDefault="005E426A" w:rsidP="00997FC0">
      <w:pPr>
        <w:pStyle w:val="Heading3"/>
        <w:rPr>
          <w:rFonts w:ascii="Arial" w:hAnsi="Arial" w:cs="Arial"/>
          <w:b/>
          <w:color w:val="006892"/>
        </w:rPr>
      </w:pPr>
      <w:r>
        <w:rPr>
          <w:rFonts w:ascii="Arial" w:hAnsi="Arial" w:cs="Arial"/>
          <w:b/>
          <w:color w:val="006892"/>
        </w:rPr>
        <w:t>SUBMITTING A PRIOR AUTHORIZATION REQUEST</w:t>
      </w:r>
    </w:p>
    <w:p w14:paraId="50314671" w14:textId="77777777" w:rsidR="005E426A" w:rsidRDefault="005E426A" w:rsidP="005E426A">
      <w:r>
        <w:t xml:space="preserve">Out-of-network providers can send their authorization request via fax to 541-677-5881 using our Prior Authorization form found on our website at www.umpquahealth.com. </w:t>
      </w:r>
    </w:p>
    <w:p w14:paraId="04B0E8D0" w14:textId="5A9099B2" w:rsidR="005E426A" w:rsidRDefault="005E426A" w:rsidP="005E426A">
      <w:r>
        <w:t>In-network providers are required to have electronic access, to submit, check the status, and manage your prior authorization requests online. By signing up for access to our Community Integration Manager (CIM), you can eliminate paperwork and fax associated with the authorization process. You will also have direct email access to our Customer Care, Prior Authorization, and Claims teams that can assist you with questions of member eligibility and monitoring PA and claims status</w:t>
      </w:r>
      <w:r w:rsidR="00EE1766">
        <w:t>.’</w:t>
      </w:r>
      <w:r>
        <w:t xml:space="preserve"> UHA requires all participating providers to submit their PA requests electronically. Each office staff member from the provider’s office will need a separate log in.</w:t>
      </w:r>
      <w:r w:rsidRPr="005E426A">
        <w:t xml:space="preserve"> </w:t>
      </w:r>
      <w:r>
        <w:t>To sign up for this feature, please visit https://help.phtech.com. Select the “Sign in” link in the top-right header.</w:t>
      </w:r>
    </w:p>
    <w:tbl>
      <w:tblPr>
        <w:tblStyle w:val="TableGrid"/>
        <w:tblW w:w="13675" w:type="dxa"/>
        <w:tblLook w:val="04A0" w:firstRow="1" w:lastRow="0" w:firstColumn="1" w:lastColumn="0" w:noHBand="0" w:noVBand="1"/>
      </w:tblPr>
      <w:tblGrid>
        <w:gridCol w:w="5485"/>
        <w:gridCol w:w="8190"/>
      </w:tblGrid>
      <w:tr w:rsidR="00762767" w:rsidRPr="00F2338D" w14:paraId="2135CE69" w14:textId="77777777" w:rsidTr="00E51072">
        <w:tc>
          <w:tcPr>
            <w:tcW w:w="13675" w:type="dxa"/>
            <w:gridSpan w:val="2"/>
            <w:shd w:val="clear" w:color="auto" w:fill="25708B"/>
          </w:tcPr>
          <w:p w14:paraId="34C5BECF" w14:textId="03C9848E" w:rsidR="00762767" w:rsidRPr="00F2338D" w:rsidRDefault="00762767" w:rsidP="00AA4A42">
            <w:pPr>
              <w:rPr>
                <w:rFonts w:cs="Times New Roman"/>
                <w:szCs w:val="24"/>
              </w:rPr>
            </w:pPr>
            <w:bookmarkStart w:id="3" w:name="_Loading_and_Intake"/>
            <w:bookmarkEnd w:id="3"/>
            <w:r>
              <w:rPr>
                <w:rFonts w:cs="Times New Roman"/>
                <w:b/>
                <w:bCs/>
                <w:color w:val="FFFFFF" w:themeColor="background1"/>
                <w:szCs w:val="24"/>
              </w:rPr>
              <w:t>Submission Instructions</w:t>
            </w:r>
          </w:p>
        </w:tc>
      </w:tr>
      <w:tr w:rsidR="00D576C5" w:rsidRPr="00F2338D" w14:paraId="68CE5CE4" w14:textId="77777777" w:rsidTr="00D346D5">
        <w:trPr>
          <w:trHeight w:val="3167"/>
        </w:trPr>
        <w:tc>
          <w:tcPr>
            <w:tcW w:w="5485" w:type="dxa"/>
            <w:shd w:val="clear" w:color="auto" w:fill="auto"/>
          </w:tcPr>
          <w:p w14:paraId="3F51CFF2" w14:textId="20235678" w:rsidR="00D576C5" w:rsidRDefault="00D576C5" w:rsidP="00F648F9">
            <w:pPr>
              <w:pStyle w:val="ListParagraph"/>
              <w:numPr>
                <w:ilvl w:val="0"/>
                <w:numId w:val="7"/>
              </w:numPr>
            </w:pPr>
            <w:r>
              <w:t>From the member search option, enter the member’s ID and select search.</w:t>
            </w:r>
          </w:p>
          <w:p w14:paraId="06B90AD2" w14:textId="171A09DB" w:rsidR="00D576C5" w:rsidRDefault="00D576C5" w:rsidP="00F648F9">
            <w:pPr>
              <w:pStyle w:val="ListParagraph"/>
              <w:numPr>
                <w:ilvl w:val="0"/>
                <w:numId w:val="7"/>
              </w:numPr>
            </w:pPr>
            <w:r>
              <w:t>Verify member eligibility and coverage type</w:t>
            </w:r>
            <w:r w:rsidR="003B4FF0">
              <w:t xml:space="preserve"> and if the member has other coverage (COB)</w:t>
            </w:r>
            <w:r>
              <w:t xml:space="preserve">. </w:t>
            </w:r>
          </w:p>
          <w:p w14:paraId="447C9A13" w14:textId="77777777" w:rsidR="00D576C5" w:rsidRDefault="00D576C5" w:rsidP="00F648F9">
            <w:pPr>
              <w:pStyle w:val="ListParagraph"/>
              <w:numPr>
                <w:ilvl w:val="1"/>
                <w:numId w:val="7"/>
              </w:numPr>
              <w:rPr>
                <w:rFonts w:cs="Times New Roman"/>
                <w:szCs w:val="24"/>
              </w:rPr>
            </w:pPr>
            <w:r w:rsidRPr="00F2338D">
              <w:rPr>
                <w:rFonts w:cs="Times New Roman"/>
                <w:szCs w:val="24"/>
              </w:rPr>
              <w:t xml:space="preserve">CCOA, CCOB </w:t>
            </w:r>
          </w:p>
          <w:p w14:paraId="187DDF13" w14:textId="7A794CC5" w:rsidR="00D576C5" w:rsidRPr="00F2338D" w:rsidRDefault="00D576C5" w:rsidP="00D576C5">
            <w:pPr>
              <w:pStyle w:val="ListParagraph"/>
              <w:ind w:left="1440"/>
              <w:rPr>
                <w:rFonts w:cs="Times New Roman"/>
                <w:szCs w:val="24"/>
              </w:rPr>
            </w:pPr>
            <w:r w:rsidRPr="00F2338D">
              <w:rPr>
                <w:rFonts w:cs="Times New Roman"/>
                <w:szCs w:val="24"/>
              </w:rPr>
              <w:t>(</w:t>
            </w:r>
            <w:r w:rsidR="00EE1766" w:rsidRPr="00F2338D">
              <w:rPr>
                <w:rFonts w:cs="Times New Roman"/>
                <w:szCs w:val="24"/>
              </w:rPr>
              <w:t>Needed</w:t>
            </w:r>
            <w:r w:rsidRPr="00F2338D">
              <w:rPr>
                <w:rFonts w:cs="Times New Roman"/>
                <w:szCs w:val="24"/>
              </w:rPr>
              <w:t xml:space="preserve"> for medical benefits)</w:t>
            </w:r>
          </w:p>
          <w:p w14:paraId="4923D03C" w14:textId="77777777" w:rsidR="00D576C5" w:rsidRPr="00D576C5" w:rsidRDefault="00D576C5" w:rsidP="00F648F9">
            <w:pPr>
              <w:pStyle w:val="ListParagraph"/>
              <w:numPr>
                <w:ilvl w:val="1"/>
                <w:numId w:val="7"/>
              </w:numPr>
            </w:pPr>
            <w:r w:rsidRPr="00F2338D">
              <w:rPr>
                <w:rFonts w:cs="Times New Roman"/>
                <w:szCs w:val="24"/>
              </w:rPr>
              <w:t>CCOG, CCOE</w:t>
            </w:r>
          </w:p>
          <w:p w14:paraId="29CC2A42" w14:textId="34C747E6" w:rsidR="00D576C5" w:rsidRDefault="00D576C5" w:rsidP="00D576C5">
            <w:pPr>
              <w:pStyle w:val="ListParagraph"/>
              <w:ind w:left="1440"/>
            </w:pPr>
            <w:r w:rsidRPr="00F2338D">
              <w:rPr>
                <w:rFonts w:cs="Times New Roman"/>
                <w:szCs w:val="24"/>
              </w:rPr>
              <w:t>(</w:t>
            </w:r>
            <w:r w:rsidR="00EE1766" w:rsidRPr="00F2338D">
              <w:rPr>
                <w:rFonts w:cs="Times New Roman"/>
                <w:szCs w:val="24"/>
              </w:rPr>
              <w:t>Needed</w:t>
            </w:r>
            <w:r w:rsidRPr="00F2338D">
              <w:rPr>
                <w:rFonts w:cs="Times New Roman"/>
                <w:szCs w:val="24"/>
              </w:rPr>
              <w:t xml:space="preserve"> for BH benefits)</w:t>
            </w:r>
          </w:p>
          <w:p w14:paraId="68E785D7" w14:textId="77777777" w:rsidR="00D576C5" w:rsidRDefault="00D576C5" w:rsidP="00F648F9">
            <w:pPr>
              <w:pStyle w:val="ListParagraph"/>
              <w:numPr>
                <w:ilvl w:val="0"/>
                <w:numId w:val="7"/>
              </w:numPr>
            </w:pPr>
            <w:r>
              <w:t xml:space="preserve">Select “Submit Pre-Auth” in the top right corner. </w:t>
            </w:r>
          </w:p>
          <w:p w14:paraId="3BE55B2C" w14:textId="77777777" w:rsidR="00D576C5" w:rsidRDefault="00D576C5" w:rsidP="00D576C5">
            <w:pPr>
              <w:pStyle w:val="ListParagraph"/>
            </w:pPr>
          </w:p>
          <w:p w14:paraId="6A2FEA36" w14:textId="08DE685B" w:rsidR="00D576C5" w:rsidRPr="00F2338D" w:rsidRDefault="003C2DDA" w:rsidP="00AA4A42">
            <w:pPr>
              <w:pStyle w:val="Heading2"/>
              <w:rPr>
                <w:rFonts w:ascii="Times New Roman" w:hAnsi="Times New Roman" w:cs="Times New Roman"/>
                <w:sz w:val="24"/>
                <w:szCs w:val="24"/>
              </w:rPr>
            </w:pPr>
            <w:r w:rsidRPr="00806CC8">
              <w:rPr>
                <w:rFonts w:cs="Times New Roman"/>
                <w:noProof/>
                <w:szCs w:val="24"/>
              </w:rPr>
              <w:lastRenderedPageBreak/>
              <w:drawing>
                <wp:inline distT="0" distB="0" distL="0" distR="0" wp14:anchorId="57560F2C" wp14:editId="4B6C36A5">
                  <wp:extent cx="3057402" cy="1335758"/>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126" cy="1342191"/>
                          </a:xfrm>
                          <a:prstGeom prst="rect">
                            <a:avLst/>
                          </a:prstGeom>
                        </pic:spPr>
                      </pic:pic>
                    </a:graphicData>
                  </a:graphic>
                </wp:inline>
              </w:drawing>
            </w:r>
          </w:p>
        </w:tc>
        <w:tc>
          <w:tcPr>
            <w:tcW w:w="8190" w:type="dxa"/>
            <w:shd w:val="clear" w:color="auto" w:fill="auto"/>
          </w:tcPr>
          <w:p w14:paraId="4B391B05" w14:textId="012C0616" w:rsidR="00D576C5" w:rsidRPr="00F2338D" w:rsidRDefault="00D576C5" w:rsidP="00AA4A42">
            <w:pPr>
              <w:rPr>
                <w:rFonts w:cs="Times New Roman"/>
                <w:szCs w:val="24"/>
              </w:rPr>
            </w:pPr>
            <w:r>
              <w:rPr>
                <w:noProof/>
              </w:rPr>
              <w:lastRenderedPageBreak/>
              <w:drawing>
                <wp:anchor distT="0" distB="0" distL="114300" distR="114300" simplePos="0" relativeHeight="251660327" behindDoc="0" locked="0" layoutInCell="1" allowOverlap="1" wp14:anchorId="10F2357D" wp14:editId="51D5F01B">
                  <wp:simplePos x="0" y="0"/>
                  <wp:positionH relativeFrom="margin">
                    <wp:posOffset>200025</wp:posOffset>
                  </wp:positionH>
                  <wp:positionV relativeFrom="paragraph">
                    <wp:posOffset>151130</wp:posOffset>
                  </wp:positionV>
                  <wp:extent cx="4679950" cy="1858005"/>
                  <wp:effectExtent l="19050" t="19050" r="25400" b="28575"/>
                  <wp:wrapThrough wrapText="bothSides">
                    <wp:wrapPolygon edited="0">
                      <wp:start x="-88" y="-222"/>
                      <wp:lineTo x="-88" y="21711"/>
                      <wp:lineTo x="21629" y="21711"/>
                      <wp:lineTo x="21629" y="-222"/>
                      <wp:lineTo x="-88" y="-222"/>
                    </wp:wrapPolygon>
                  </wp:wrapThrough>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679950" cy="185800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r>
      <w:tr w:rsidR="003C2DDA" w:rsidRPr="00F2338D" w14:paraId="30FD406D" w14:textId="77777777" w:rsidTr="00D346D5">
        <w:tc>
          <w:tcPr>
            <w:tcW w:w="5485" w:type="dxa"/>
          </w:tcPr>
          <w:p w14:paraId="435FB252" w14:textId="5BBFDFCF" w:rsidR="00D576C5" w:rsidRDefault="00D576C5" w:rsidP="00F648F9">
            <w:pPr>
              <w:pStyle w:val="ListParagraph"/>
              <w:numPr>
                <w:ilvl w:val="0"/>
                <w:numId w:val="7"/>
              </w:numPr>
            </w:pPr>
            <w:r>
              <w:t>From the new Assign a Type of Care page, select “Pre-Authorization</w:t>
            </w:r>
            <w:r w:rsidR="00EE1766">
              <w:t>.”</w:t>
            </w:r>
          </w:p>
          <w:p w14:paraId="46A7F38B" w14:textId="0F10EEEE" w:rsidR="00792467" w:rsidRDefault="00D576C5" w:rsidP="00F648F9">
            <w:pPr>
              <w:pStyle w:val="ListParagraph"/>
              <w:numPr>
                <w:ilvl w:val="0"/>
                <w:numId w:val="7"/>
              </w:numPr>
            </w:pPr>
            <w:r>
              <w:t>Select “START” in the bottom of the Pre-Authorization box</w:t>
            </w:r>
            <w:r w:rsidR="00EE1766">
              <w:t xml:space="preserve">. </w:t>
            </w:r>
          </w:p>
          <w:p w14:paraId="1C10FFD1" w14:textId="1AB63729" w:rsidR="00792467" w:rsidRPr="00792467" w:rsidRDefault="00792467" w:rsidP="00F648F9">
            <w:pPr>
              <w:pStyle w:val="ListParagraph"/>
              <w:numPr>
                <w:ilvl w:val="0"/>
                <w:numId w:val="7"/>
              </w:numPr>
            </w:pPr>
            <w:r w:rsidRPr="00792467">
              <w:rPr>
                <w:rFonts w:cs="Times New Roman"/>
                <w:b/>
                <w:bCs/>
                <w:szCs w:val="24"/>
              </w:rPr>
              <w:t>Start Date</w:t>
            </w:r>
            <w:r w:rsidRPr="00792467">
              <w:rPr>
                <w:rFonts w:cs="Times New Roman"/>
                <w:szCs w:val="24"/>
              </w:rPr>
              <w:t xml:space="preserve"> &amp; </w:t>
            </w:r>
            <w:r w:rsidRPr="00792467">
              <w:rPr>
                <w:rFonts w:cs="Times New Roman"/>
                <w:b/>
                <w:bCs/>
                <w:szCs w:val="24"/>
              </w:rPr>
              <w:t>End</w:t>
            </w:r>
            <w:r w:rsidRPr="00792467">
              <w:rPr>
                <w:rFonts w:cs="Times New Roman"/>
                <w:szCs w:val="24"/>
              </w:rPr>
              <w:t xml:space="preserve"> </w:t>
            </w:r>
            <w:r w:rsidRPr="00792467">
              <w:rPr>
                <w:rFonts w:cs="Times New Roman"/>
                <w:b/>
                <w:szCs w:val="24"/>
              </w:rPr>
              <w:t>Date</w:t>
            </w:r>
            <w:r w:rsidRPr="00792467">
              <w:rPr>
                <w:rFonts w:cs="Times New Roman"/>
                <w:szCs w:val="24"/>
              </w:rPr>
              <w:t xml:space="preserve">: Update these dates </w:t>
            </w:r>
            <w:r w:rsidR="00EE1766" w:rsidRPr="00792467">
              <w:rPr>
                <w:rFonts w:cs="Times New Roman"/>
                <w:szCs w:val="24"/>
              </w:rPr>
              <w:t>according to</w:t>
            </w:r>
            <w:r w:rsidRPr="00792467">
              <w:rPr>
                <w:rFonts w:cs="Times New Roman"/>
                <w:szCs w:val="24"/>
              </w:rPr>
              <w:t xml:space="preserve"> the request. The calendar icon will calculate the date for you based on the options listed. If a request is received without a specific start date, default to the day the request was received. If an end date is not specified, the default time for a is </w:t>
            </w:r>
            <w:r>
              <w:rPr>
                <w:rFonts w:cs="Times New Roman"/>
                <w:szCs w:val="24"/>
              </w:rPr>
              <w:t>one</w:t>
            </w:r>
            <w:r w:rsidRPr="00792467">
              <w:rPr>
                <w:rFonts w:cs="Times New Roman"/>
                <w:szCs w:val="24"/>
              </w:rPr>
              <w:t xml:space="preserve"> month.</w:t>
            </w:r>
          </w:p>
          <w:p w14:paraId="0E0953DA" w14:textId="0BF19D25" w:rsidR="00792467" w:rsidRPr="00792467" w:rsidRDefault="00792467" w:rsidP="00F648F9">
            <w:pPr>
              <w:pStyle w:val="ListParagraph"/>
              <w:numPr>
                <w:ilvl w:val="1"/>
                <w:numId w:val="7"/>
              </w:numPr>
            </w:pPr>
            <w:r>
              <w:rPr>
                <w:rFonts w:cs="Times New Roman"/>
                <w:b/>
                <w:bCs/>
                <w:szCs w:val="24"/>
              </w:rPr>
              <w:t xml:space="preserve">Please see the Standard PA Duration section for allowed timeframes. </w:t>
            </w:r>
          </w:p>
          <w:p w14:paraId="65C8AB57" w14:textId="77777777" w:rsidR="00792467" w:rsidRDefault="00792467" w:rsidP="00F648F9">
            <w:pPr>
              <w:pStyle w:val="ListParagraph"/>
              <w:numPr>
                <w:ilvl w:val="0"/>
                <w:numId w:val="7"/>
              </w:numPr>
            </w:pPr>
            <w:r>
              <w:t xml:space="preserve">Then select “START” in the bottom of the box appropriate care type. </w:t>
            </w:r>
          </w:p>
          <w:p w14:paraId="3DE71976" w14:textId="77777777" w:rsidR="00792467" w:rsidRPr="00792467" w:rsidRDefault="00792467" w:rsidP="00792467">
            <w:pPr>
              <w:pStyle w:val="ListParagraph"/>
            </w:pPr>
          </w:p>
          <w:p w14:paraId="283C695D" w14:textId="67CA6821" w:rsidR="00792467" w:rsidRPr="00D576C5" w:rsidRDefault="00792467" w:rsidP="00AA4A42">
            <w:pPr>
              <w:rPr>
                <w:rFonts w:cs="Times New Roman"/>
                <w:bCs/>
                <w:szCs w:val="24"/>
              </w:rPr>
            </w:pPr>
          </w:p>
        </w:tc>
        <w:tc>
          <w:tcPr>
            <w:tcW w:w="8190" w:type="dxa"/>
          </w:tcPr>
          <w:p w14:paraId="7261E78F" w14:textId="3F1C81C8" w:rsidR="00AD76F9" w:rsidRPr="00F2338D" w:rsidRDefault="003B4FF0" w:rsidP="00D576C5">
            <w:pPr>
              <w:pStyle w:val="ListParagraph"/>
              <w:ind w:left="360"/>
              <w:rPr>
                <w:rFonts w:cs="Times New Roman"/>
                <w:szCs w:val="24"/>
              </w:rPr>
            </w:pPr>
            <w:r>
              <w:rPr>
                <w:noProof/>
              </w:rPr>
              <w:drawing>
                <wp:anchor distT="0" distB="0" distL="114300" distR="114300" simplePos="0" relativeHeight="251663399" behindDoc="0" locked="0" layoutInCell="1" allowOverlap="1" wp14:anchorId="1F260261" wp14:editId="3A931337">
                  <wp:simplePos x="0" y="0"/>
                  <wp:positionH relativeFrom="column">
                    <wp:posOffset>-11430</wp:posOffset>
                  </wp:positionH>
                  <wp:positionV relativeFrom="paragraph">
                    <wp:posOffset>26670</wp:posOffset>
                  </wp:positionV>
                  <wp:extent cx="2520950" cy="2127250"/>
                  <wp:effectExtent l="0" t="0" r="0" b="6350"/>
                  <wp:wrapTopAndBottom/>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520950" cy="2127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75" behindDoc="1" locked="0" layoutInCell="1" allowOverlap="1" wp14:anchorId="4A4614F2" wp14:editId="2CE02CB7">
                  <wp:simplePos x="0" y="0"/>
                  <wp:positionH relativeFrom="margin">
                    <wp:posOffset>2566670</wp:posOffset>
                  </wp:positionH>
                  <wp:positionV relativeFrom="paragraph">
                    <wp:posOffset>20320</wp:posOffset>
                  </wp:positionV>
                  <wp:extent cx="2560320" cy="2108835"/>
                  <wp:effectExtent l="19050" t="19050" r="11430" b="24765"/>
                  <wp:wrapTight wrapText="bothSides">
                    <wp:wrapPolygon edited="0">
                      <wp:start x="-161" y="-195"/>
                      <wp:lineTo x="-161" y="21659"/>
                      <wp:lineTo x="21536" y="21659"/>
                      <wp:lineTo x="21536" y="-195"/>
                      <wp:lineTo x="-161" y="-195"/>
                    </wp:wrapPolygon>
                  </wp:wrapTight>
                  <wp:docPr id="218" name="Picture 21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60320" cy="210883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noProof/>
              </w:rPr>
              <w:t xml:space="preserve"> </w:t>
            </w:r>
          </w:p>
        </w:tc>
      </w:tr>
      <w:tr w:rsidR="003C2DDA" w:rsidRPr="00F2338D" w14:paraId="7EDD9210" w14:textId="77777777" w:rsidTr="00D346D5">
        <w:tc>
          <w:tcPr>
            <w:tcW w:w="5485" w:type="dxa"/>
          </w:tcPr>
          <w:p w14:paraId="11A654B1" w14:textId="0F916FDD" w:rsidR="003B4FF0" w:rsidRDefault="003B4FF0" w:rsidP="00F648F9">
            <w:pPr>
              <w:pStyle w:val="ListParagraph"/>
              <w:numPr>
                <w:ilvl w:val="0"/>
                <w:numId w:val="7"/>
              </w:numPr>
            </w:pPr>
            <w:r>
              <w:lastRenderedPageBreak/>
              <w:t xml:space="preserve">Next, click on the first box that </w:t>
            </w:r>
            <w:r w:rsidR="00EE1766">
              <w:t>states,</w:t>
            </w:r>
            <w:r>
              <w:t xml:space="preserve"> “Select an </w:t>
            </w:r>
            <w:r w:rsidRPr="00792467">
              <w:rPr>
                <w:b/>
                <w:bCs/>
              </w:rPr>
              <w:t>Auth Type</w:t>
            </w:r>
            <w:r w:rsidR="00EE1766">
              <w:t>.”</w:t>
            </w:r>
            <w:r>
              <w:t xml:space="preserve"> Select as applicable. </w:t>
            </w:r>
          </w:p>
          <w:p w14:paraId="350BD7B4" w14:textId="382E0BF6" w:rsidR="003B4FF0" w:rsidRDefault="003B4FF0" w:rsidP="00F648F9">
            <w:pPr>
              <w:pStyle w:val="ListParagraph"/>
              <w:numPr>
                <w:ilvl w:val="0"/>
                <w:numId w:val="7"/>
              </w:numPr>
            </w:pPr>
            <w:r>
              <w:t xml:space="preserve">All requests will be a standard </w:t>
            </w:r>
            <w:r w:rsidRPr="00792467">
              <w:rPr>
                <w:b/>
                <w:bCs/>
              </w:rPr>
              <w:t>urgency</w:t>
            </w:r>
            <w:r>
              <w:t xml:space="preserve"> status unless the</w:t>
            </w:r>
            <w:r>
              <w:rPr>
                <w:rStyle w:val="normaltextrun"/>
              </w:rPr>
              <w:t xml:space="preserve"> standard review timeframe could seriously jeopardize the member's life, health, or ability to attain, maintain, or regain maximum function" in accordance with 42 CFR 438.210(d)(2)(i). Then the request will need to have an expedited urgency status</w:t>
            </w:r>
            <w:r w:rsidR="00EE1766">
              <w:rPr>
                <w:rStyle w:val="normaltextrun"/>
              </w:rPr>
              <w:t xml:space="preserve">. </w:t>
            </w:r>
          </w:p>
          <w:p w14:paraId="183F7E82" w14:textId="37466A31" w:rsidR="00792467" w:rsidRPr="00792467" w:rsidRDefault="00792467" w:rsidP="00F648F9">
            <w:pPr>
              <w:pStyle w:val="ListParagraph"/>
              <w:numPr>
                <w:ilvl w:val="0"/>
                <w:numId w:val="7"/>
              </w:numPr>
              <w:ind w:left="1080"/>
              <w:rPr>
                <w:rFonts w:cs="Times New Roman"/>
                <w:szCs w:val="24"/>
              </w:rPr>
            </w:pPr>
            <w:r w:rsidRPr="00792467">
              <w:rPr>
                <w:rFonts w:cs="Times New Roman"/>
                <w:b/>
                <w:szCs w:val="24"/>
              </w:rPr>
              <w:t xml:space="preserve">Referring Provider: </w:t>
            </w:r>
            <w:r w:rsidRPr="00792467">
              <w:rPr>
                <w:rFonts w:cs="Times New Roman"/>
                <w:szCs w:val="24"/>
              </w:rPr>
              <w:t>CIM will auto-populate the member’s PCP. If the PCP is not the ordering/requesting provider, this field must be corrected by clicking on referring provider box and enter the first name or last name and click on the “Search</w:t>
            </w:r>
            <w:r w:rsidR="00EE1766" w:rsidRPr="00792467">
              <w:rPr>
                <w:rFonts w:cs="Times New Roman"/>
                <w:szCs w:val="24"/>
              </w:rPr>
              <w:t>.”</w:t>
            </w:r>
            <w:r w:rsidRPr="00792467">
              <w:rPr>
                <w:rFonts w:cs="Times New Roman"/>
                <w:szCs w:val="24"/>
              </w:rPr>
              <w:t xml:space="preserve"> The more complete you are at entering the name the more precise your return of valid names will appear. </w:t>
            </w:r>
          </w:p>
          <w:p w14:paraId="56E4F287" w14:textId="31BC8E5D" w:rsidR="00792467" w:rsidRPr="000E42AC" w:rsidRDefault="00792467" w:rsidP="00792467">
            <w:pPr>
              <w:ind w:left="1080"/>
              <w:contextualSpacing/>
              <w:rPr>
                <w:rFonts w:cs="Times New Roman"/>
                <w:szCs w:val="24"/>
              </w:rPr>
            </w:pPr>
            <w:r w:rsidRPr="000E42AC">
              <w:rPr>
                <w:rFonts w:cs="Times New Roman"/>
                <w:szCs w:val="24"/>
              </w:rPr>
              <w:t xml:space="preserve">After you have located the correct name, make sure you click on the name to highlight it and then click </w:t>
            </w:r>
            <w:r w:rsidRPr="000E42AC">
              <w:rPr>
                <w:rFonts w:cs="Times New Roman"/>
                <w:b/>
                <w:szCs w:val="24"/>
              </w:rPr>
              <w:t>“</w:t>
            </w:r>
            <w:r w:rsidRPr="000E42AC">
              <w:rPr>
                <w:rFonts w:cs="Times New Roman"/>
                <w:szCs w:val="24"/>
              </w:rPr>
              <w:t>OK</w:t>
            </w:r>
            <w:r w:rsidR="00EE1766" w:rsidRPr="000E42AC">
              <w:rPr>
                <w:rFonts w:cs="Times New Roman"/>
                <w:b/>
                <w:szCs w:val="24"/>
              </w:rPr>
              <w:t>.”</w:t>
            </w:r>
            <w:r w:rsidRPr="000E42AC">
              <w:rPr>
                <w:rFonts w:cs="Times New Roman"/>
                <w:szCs w:val="24"/>
              </w:rPr>
              <w:t xml:space="preserve"> </w:t>
            </w:r>
          </w:p>
          <w:p w14:paraId="283912D1" w14:textId="77777777" w:rsidR="00792467" w:rsidRPr="000E42AC" w:rsidRDefault="00792467" w:rsidP="00792467">
            <w:pPr>
              <w:ind w:left="1080"/>
              <w:contextualSpacing/>
              <w:rPr>
                <w:rFonts w:cs="Times New Roman"/>
                <w:szCs w:val="24"/>
              </w:rPr>
            </w:pPr>
            <w:r w:rsidRPr="000E42AC">
              <w:rPr>
                <w:rFonts w:cs="Times New Roman"/>
                <w:szCs w:val="24"/>
              </w:rPr>
              <w:t xml:space="preserve">If multiple NPI’s for the same provider are generated, choose the closest matching to facility. </w:t>
            </w:r>
          </w:p>
          <w:p w14:paraId="30939360" w14:textId="43AA4337" w:rsidR="00792467" w:rsidRPr="00792467" w:rsidRDefault="00792467" w:rsidP="00F648F9">
            <w:pPr>
              <w:pStyle w:val="ListParagraph"/>
              <w:numPr>
                <w:ilvl w:val="0"/>
                <w:numId w:val="7"/>
              </w:numPr>
              <w:autoSpaceDE w:val="0"/>
              <w:autoSpaceDN w:val="0"/>
              <w:adjustRightInd w:val="0"/>
              <w:rPr>
                <w:rFonts w:cs="Times New Roman"/>
                <w:color w:val="000000"/>
                <w:szCs w:val="24"/>
              </w:rPr>
            </w:pPr>
            <w:r w:rsidRPr="00792467">
              <w:rPr>
                <w:rFonts w:cs="Times New Roman"/>
                <w:b/>
                <w:color w:val="000000"/>
                <w:szCs w:val="24"/>
              </w:rPr>
              <w:t xml:space="preserve">Delivering Provider: </w:t>
            </w:r>
            <w:r w:rsidRPr="00792467">
              <w:rPr>
                <w:rFonts w:cs="Times New Roman"/>
                <w:color w:val="000000"/>
                <w:szCs w:val="24"/>
              </w:rPr>
              <w:t>Enter the name of the physician, DME vendor, or facility that is providing the service(s</w:t>
            </w:r>
            <w:r>
              <w:rPr>
                <w:rFonts w:cs="Times New Roman"/>
                <w:color w:val="000000"/>
                <w:szCs w:val="24"/>
              </w:rPr>
              <w:t>)</w:t>
            </w:r>
            <w:r w:rsidRPr="00792467">
              <w:rPr>
                <w:rFonts w:cs="Times New Roman"/>
                <w:color w:val="000000"/>
                <w:szCs w:val="24"/>
              </w:rPr>
              <w:t xml:space="preserve"> following the same directions as the referring provider above. If the name of the provider/vendor/facility is not available or generated, use “UHA Default” as a placeholder. However, the provider </w:t>
            </w:r>
            <w:r w:rsidRPr="00792467">
              <w:rPr>
                <w:rFonts w:cs="Times New Roman"/>
                <w:bCs/>
                <w:color w:val="000000"/>
                <w:szCs w:val="24"/>
                <w:u w:val="single"/>
              </w:rPr>
              <w:t>must</w:t>
            </w:r>
            <w:r w:rsidRPr="00792467">
              <w:rPr>
                <w:rFonts w:cs="Times New Roman"/>
                <w:bCs/>
                <w:color w:val="000000"/>
                <w:szCs w:val="24"/>
              </w:rPr>
              <w:t xml:space="preserve"> be stated in the comments section of the prior authorization, AND the determination letter. If </w:t>
            </w:r>
            <w:r w:rsidRPr="00792467">
              <w:rPr>
                <w:rFonts w:cs="Times New Roman"/>
                <w:bCs/>
                <w:color w:val="000000"/>
                <w:szCs w:val="24"/>
              </w:rPr>
              <w:lastRenderedPageBreak/>
              <w:t xml:space="preserve">the request is for an office visit and procedure, the deliver provider must be a specific provider and the facility field will be used for the facility. </w:t>
            </w:r>
          </w:p>
          <w:p w14:paraId="2CCC974A" w14:textId="77777777" w:rsidR="003B4FF0" w:rsidRDefault="003B4FF0" w:rsidP="00F648F9">
            <w:pPr>
              <w:pStyle w:val="ListParagraph"/>
              <w:numPr>
                <w:ilvl w:val="0"/>
                <w:numId w:val="7"/>
              </w:numPr>
            </w:pPr>
            <w:r>
              <w:t xml:space="preserve">Select continue in the bottom left corner. </w:t>
            </w:r>
          </w:p>
          <w:p w14:paraId="34EA6B36" w14:textId="53341F6C" w:rsidR="00AD76F9" w:rsidRPr="003B4FF0" w:rsidRDefault="00AD76F9" w:rsidP="00AA4A42">
            <w:pPr>
              <w:rPr>
                <w:rFonts w:cs="Times New Roman"/>
                <w:bCs/>
                <w:szCs w:val="24"/>
              </w:rPr>
            </w:pPr>
          </w:p>
        </w:tc>
        <w:tc>
          <w:tcPr>
            <w:tcW w:w="8190" w:type="dxa"/>
          </w:tcPr>
          <w:p w14:paraId="201FCBE3" w14:textId="3743FFDA" w:rsidR="00AD76F9" w:rsidRPr="003B4FF0" w:rsidRDefault="003B4FF0" w:rsidP="003B4FF0">
            <w:pPr>
              <w:rPr>
                <w:rFonts w:cs="Times New Roman"/>
                <w:szCs w:val="24"/>
              </w:rPr>
            </w:pPr>
            <w:r>
              <w:rPr>
                <w:noProof/>
              </w:rPr>
              <w:lastRenderedPageBreak/>
              <w:drawing>
                <wp:inline distT="0" distB="0" distL="0" distR="0" wp14:anchorId="46BB21F7" wp14:editId="4BE501EC">
                  <wp:extent cx="4072472" cy="2419350"/>
                  <wp:effectExtent l="0" t="0" r="444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80346" cy="2424028"/>
                          </a:xfrm>
                          <a:prstGeom prst="rect">
                            <a:avLst/>
                          </a:prstGeom>
                        </pic:spPr>
                      </pic:pic>
                    </a:graphicData>
                  </a:graphic>
                </wp:inline>
              </w:drawing>
            </w:r>
          </w:p>
        </w:tc>
      </w:tr>
      <w:tr w:rsidR="003C2DDA" w:rsidRPr="00F2338D" w14:paraId="53F93FB5" w14:textId="77777777" w:rsidTr="00D346D5">
        <w:tc>
          <w:tcPr>
            <w:tcW w:w="5485" w:type="dxa"/>
          </w:tcPr>
          <w:p w14:paraId="7E0539F8" w14:textId="055EF931" w:rsidR="00D346D5" w:rsidRDefault="003B4FF0" w:rsidP="00F648F9">
            <w:pPr>
              <w:pStyle w:val="ListParagraph"/>
              <w:numPr>
                <w:ilvl w:val="0"/>
                <w:numId w:val="7"/>
              </w:numPr>
            </w:pPr>
            <w:r>
              <w:t xml:space="preserve">Enter the </w:t>
            </w:r>
            <w:r w:rsidRPr="00792467">
              <w:rPr>
                <w:b/>
                <w:bCs/>
              </w:rPr>
              <w:t>diagnosis code</w:t>
            </w:r>
            <w:r w:rsidR="00792467">
              <w:rPr>
                <w:b/>
                <w:bCs/>
              </w:rPr>
              <w:t>(s)</w:t>
            </w:r>
            <w:r>
              <w:t xml:space="preserve"> </w:t>
            </w:r>
            <w:r w:rsidRPr="00792467">
              <w:rPr>
                <w:b/>
                <w:bCs/>
              </w:rPr>
              <w:t>and procedure code</w:t>
            </w:r>
            <w:r w:rsidR="00792467">
              <w:rPr>
                <w:b/>
                <w:bCs/>
              </w:rPr>
              <w:t>(</w:t>
            </w:r>
            <w:r w:rsidRPr="00792467">
              <w:rPr>
                <w:b/>
                <w:bCs/>
              </w:rPr>
              <w:t>s</w:t>
            </w:r>
            <w:r w:rsidR="00792467">
              <w:rPr>
                <w:b/>
                <w:bCs/>
              </w:rPr>
              <w:t>)</w:t>
            </w:r>
            <w:r>
              <w:t xml:space="preserve"> and select the populated option. </w:t>
            </w:r>
          </w:p>
          <w:p w14:paraId="530C4EFC" w14:textId="07C5FAA1" w:rsidR="00D346D5" w:rsidRDefault="00D346D5" w:rsidP="00F648F9">
            <w:pPr>
              <w:pStyle w:val="ListParagraph"/>
              <w:numPr>
                <w:ilvl w:val="1"/>
                <w:numId w:val="7"/>
              </w:numPr>
            </w:pPr>
            <w:r w:rsidRPr="00F2338D">
              <w:rPr>
                <w:rFonts w:cs="Times New Roman"/>
                <w:szCs w:val="24"/>
              </w:rPr>
              <w:t>Codes with a * are invalid</w:t>
            </w:r>
            <w:r>
              <w:rPr>
                <w:rFonts w:cs="Times New Roman"/>
                <w:szCs w:val="24"/>
              </w:rPr>
              <w:t xml:space="preserve"> and a valid code must be requested. </w:t>
            </w:r>
          </w:p>
          <w:p w14:paraId="07149938" w14:textId="3428D93E" w:rsidR="00792467" w:rsidRDefault="003B4FF0" w:rsidP="00F648F9">
            <w:pPr>
              <w:pStyle w:val="ListParagraph"/>
              <w:numPr>
                <w:ilvl w:val="0"/>
                <w:numId w:val="7"/>
              </w:numPr>
            </w:pPr>
            <w:r>
              <w:t>Then enter the date range from the calendar icon. Enter the max units</w:t>
            </w:r>
            <w:r w:rsidR="00792467">
              <w:t>.</w:t>
            </w:r>
          </w:p>
          <w:p w14:paraId="1E22F159" w14:textId="2A91FF0A" w:rsidR="00792467" w:rsidRDefault="00792467" w:rsidP="00F648F9">
            <w:pPr>
              <w:pStyle w:val="ListParagraph"/>
              <w:numPr>
                <w:ilvl w:val="1"/>
                <w:numId w:val="7"/>
              </w:numPr>
            </w:pPr>
            <w:r>
              <w:t xml:space="preserve">UHA counts units as “visits” or dates of service. </w:t>
            </w:r>
          </w:p>
          <w:p w14:paraId="3DF1E76B" w14:textId="3ADD635F" w:rsidR="00792467" w:rsidRDefault="00792467" w:rsidP="00F648F9">
            <w:pPr>
              <w:pStyle w:val="ListParagraph"/>
              <w:numPr>
                <w:ilvl w:val="0"/>
                <w:numId w:val="7"/>
              </w:numPr>
            </w:pPr>
            <w:r>
              <w:t xml:space="preserve">Max dollars should only be completed if requesting a rate/amount higher than contracted, DMAP or if no rate is established (SFA). </w:t>
            </w:r>
          </w:p>
          <w:p w14:paraId="4EF0A4C1" w14:textId="1F610847" w:rsidR="003B4FF0" w:rsidRDefault="003B4FF0" w:rsidP="00F648F9">
            <w:pPr>
              <w:pStyle w:val="ListParagraph"/>
              <w:numPr>
                <w:ilvl w:val="0"/>
                <w:numId w:val="7"/>
              </w:numPr>
            </w:pPr>
            <w:r>
              <w:t>Then select “ADD</w:t>
            </w:r>
            <w:r w:rsidR="00EE1766">
              <w:t>.”</w:t>
            </w:r>
            <w:r>
              <w:t xml:space="preserve">     </w:t>
            </w:r>
          </w:p>
          <w:p w14:paraId="2FF0C82A" w14:textId="4EE8473A" w:rsidR="003B4FF0" w:rsidRDefault="003B4FF0" w:rsidP="00F648F9">
            <w:pPr>
              <w:pStyle w:val="ListParagraph"/>
              <w:numPr>
                <w:ilvl w:val="0"/>
                <w:numId w:val="7"/>
              </w:numPr>
            </w:pPr>
            <w:r>
              <w:t xml:space="preserve">Select “CONTINUE” in the bottom left corner. </w:t>
            </w:r>
          </w:p>
          <w:p w14:paraId="15395E69" w14:textId="03076D16" w:rsidR="00AD76F9" w:rsidRPr="003B4FF0" w:rsidRDefault="00AD76F9" w:rsidP="00AA4A42">
            <w:pPr>
              <w:rPr>
                <w:rFonts w:cs="Times New Roman"/>
                <w:bCs/>
                <w:szCs w:val="24"/>
              </w:rPr>
            </w:pPr>
          </w:p>
        </w:tc>
        <w:tc>
          <w:tcPr>
            <w:tcW w:w="8190" w:type="dxa"/>
          </w:tcPr>
          <w:p w14:paraId="54E79984" w14:textId="1CFBDADB" w:rsidR="00AD76F9" w:rsidRPr="00E35104" w:rsidRDefault="003B4FF0" w:rsidP="003B4FF0">
            <w:pPr>
              <w:pStyle w:val="ListParagraph"/>
              <w:ind w:left="360"/>
              <w:rPr>
                <w:rFonts w:cs="Times New Roman"/>
                <w:szCs w:val="24"/>
              </w:rPr>
            </w:pPr>
            <w:r>
              <w:rPr>
                <w:noProof/>
              </w:rPr>
              <w:drawing>
                <wp:anchor distT="0" distB="0" distL="114300" distR="114300" simplePos="0" relativeHeight="251665447" behindDoc="0" locked="0" layoutInCell="1" allowOverlap="1" wp14:anchorId="0507C619" wp14:editId="79F9DBE7">
                  <wp:simplePos x="0" y="0"/>
                  <wp:positionH relativeFrom="margin">
                    <wp:posOffset>828675</wp:posOffset>
                  </wp:positionH>
                  <wp:positionV relativeFrom="paragraph">
                    <wp:posOffset>0</wp:posOffset>
                  </wp:positionV>
                  <wp:extent cx="3166745" cy="3101340"/>
                  <wp:effectExtent l="0" t="0" r="0" b="3810"/>
                  <wp:wrapThrough wrapText="bothSides">
                    <wp:wrapPolygon edited="0">
                      <wp:start x="0" y="0"/>
                      <wp:lineTo x="0" y="21494"/>
                      <wp:lineTo x="21440" y="21494"/>
                      <wp:lineTo x="21440" y="0"/>
                      <wp:lineTo x="0" y="0"/>
                    </wp:wrapPolygon>
                  </wp:wrapThrough>
                  <wp:docPr id="220" name="Picture 2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166745" cy="3101340"/>
                          </a:xfrm>
                          <a:prstGeom prst="rect">
                            <a:avLst/>
                          </a:prstGeom>
                        </pic:spPr>
                      </pic:pic>
                    </a:graphicData>
                  </a:graphic>
                  <wp14:sizeRelH relativeFrom="margin">
                    <wp14:pctWidth>0</wp14:pctWidth>
                  </wp14:sizeRelH>
                  <wp14:sizeRelV relativeFrom="margin">
                    <wp14:pctHeight>0</wp14:pctHeight>
                  </wp14:sizeRelV>
                </wp:anchor>
              </w:drawing>
            </w:r>
          </w:p>
        </w:tc>
      </w:tr>
      <w:tr w:rsidR="003C2DDA" w:rsidRPr="00F2338D" w14:paraId="4DCAA473" w14:textId="77777777" w:rsidTr="00D346D5">
        <w:tc>
          <w:tcPr>
            <w:tcW w:w="5485" w:type="dxa"/>
          </w:tcPr>
          <w:p w14:paraId="1C3E7D64" w14:textId="4703438D" w:rsidR="0001306D" w:rsidRDefault="0001306D" w:rsidP="00F648F9">
            <w:pPr>
              <w:pStyle w:val="ListParagraph"/>
              <w:numPr>
                <w:ilvl w:val="0"/>
                <w:numId w:val="7"/>
              </w:numPr>
            </w:pPr>
            <w:r>
              <w:lastRenderedPageBreak/>
              <w:t xml:space="preserve">Attach supporting documentation by selecting the “+” sign in the Attach Documents header. </w:t>
            </w:r>
          </w:p>
          <w:p w14:paraId="634348D8" w14:textId="6C8F50B3" w:rsidR="0001306D" w:rsidRDefault="0001306D" w:rsidP="00F648F9">
            <w:pPr>
              <w:pStyle w:val="ListParagraph"/>
              <w:numPr>
                <w:ilvl w:val="0"/>
                <w:numId w:val="7"/>
              </w:numPr>
            </w:pPr>
            <w:r>
              <w:t xml:space="preserve">Add additional information in the “Comments” sections. If the referring/delivering provide did not populate, enter the </w:t>
            </w:r>
            <w:r w:rsidR="00EE1766">
              <w:t>provider’s</w:t>
            </w:r>
            <w:r>
              <w:t xml:space="preserve"> name and NPI number here. If making a change or extending the stay (concurrent review) list the reference number of the previous auth and the change needed. </w:t>
            </w:r>
          </w:p>
          <w:p w14:paraId="245D23E5" w14:textId="6662E4B7" w:rsidR="0001306D" w:rsidRDefault="0001306D" w:rsidP="00F648F9">
            <w:pPr>
              <w:pStyle w:val="ListParagraph"/>
              <w:numPr>
                <w:ilvl w:val="0"/>
                <w:numId w:val="7"/>
              </w:numPr>
            </w:pPr>
            <w:r>
              <w:t xml:space="preserve">Select continue in the bottom left corner. </w:t>
            </w:r>
          </w:p>
          <w:p w14:paraId="4F79D457" w14:textId="277AC83E" w:rsidR="00AD76F9" w:rsidRPr="0001306D" w:rsidRDefault="00AD76F9" w:rsidP="00AA4A42">
            <w:pPr>
              <w:rPr>
                <w:rFonts w:cs="Times New Roman"/>
                <w:bCs/>
                <w:szCs w:val="24"/>
              </w:rPr>
            </w:pPr>
          </w:p>
        </w:tc>
        <w:tc>
          <w:tcPr>
            <w:tcW w:w="8190" w:type="dxa"/>
          </w:tcPr>
          <w:p w14:paraId="0FD3DCCF" w14:textId="7AED21CF" w:rsidR="00AD76F9" w:rsidRPr="00D346D5" w:rsidRDefault="0001306D" w:rsidP="00D346D5">
            <w:pPr>
              <w:rPr>
                <w:rFonts w:cs="Times New Roman"/>
                <w:szCs w:val="24"/>
              </w:rPr>
            </w:pPr>
            <w:r>
              <w:rPr>
                <w:noProof/>
              </w:rPr>
              <mc:AlternateContent>
                <mc:Choice Requires="wps">
                  <w:drawing>
                    <wp:anchor distT="0" distB="0" distL="114300" distR="114300" simplePos="0" relativeHeight="251674663" behindDoc="0" locked="0" layoutInCell="1" allowOverlap="1" wp14:anchorId="494805A2" wp14:editId="58D57FF0">
                      <wp:simplePos x="0" y="0"/>
                      <wp:positionH relativeFrom="column">
                        <wp:posOffset>3397761</wp:posOffset>
                      </wp:positionH>
                      <wp:positionV relativeFrom="paragraph">
                        <wp:posOffset>749698</wp:posOffset>
                      </wp:positionV>
                      <wp:extent cx="134471" cy="120650"/>
                      <wp:effectExtent l="38100" t="0" r="18415" b="50800"/>
                      <wp:wrapNone/>
                      <wp:docPr id="214" name="Straight Arrow Connector 214"/>
                      <wp:cNvGraphicFramePr/>
                      <a:graphic xmlns:a="http://schemas.openxmlformats.org/drawingml/2006/main">
                        <a:graphicData uri="http://schemas.microsoft.com/office/word/2010/wordprocessingShape">
                          <wps:wsp>
                            <wps:cNvCnPr/>
                            <wps:spPr>
                              <a:xfrm flipH="1">
                                <a:off x="0" y="0"/>
                                <a:ext cx="134471" cy="120650"/>
                              </a:xfrm>
                              <a:prstGeom prst="straightConnector1">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A62772" id="_x0000_t32" coordsize="21600,21600" o:spt="32" o:oned="t" path="m,l21600,21600e" filled="f">
                      <v:path arrowok="t" fillok="f" o:connecttype="none"/>
                      <o:lock v:ext="edit" shapetype="t"/>
                    </v:shapetype>
                    <v:shape id="Straight Arrow Connector 214" o:spid="_x0000_s1026" type="#_x0000_t32" style="position:absolute;margin-left:267.55pt;margin-top:59.05pt;width:10.6pt;height:9.5pt;flip:x;z-index:2516746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" strokecolor="red" strokeweight="1.5pt">
                      <v:stroke endarrow="block" joinstyle="miter"/>
                    </v:shape>
                  </w:pict>
                </mc:Fallback>
              </mc:AlternateContent>
            </w:r>
            <w:r>
              <w:rPr>
                <w:noProof/>
              </w:rPr>
              <mc:AlternateContent>
                <mc:Choice Requires="wps">
                  <w:drawing>
                    <wp:anchor distT="0" distB="0" distL="114300" distR="114300" simplePos="0" relativeHeight="251673639" behindDoc="0" locked="0" layoutInCell="1" allowOverlap="1" wp14:anchorId="2436D55F" wp14:editId="51943E51">
                      <wp:simplePos x="0" y="0"/>
                      <wp:positionH relativeFrom="column">
                        <wp:posOffset>432653</wp:posOffset>
                      </wp:positionH>
                      <wp:positionV relativeFrom="paragraph">
                        <wp:posOffset>3006308</wp:posOffset>
                      </wp:positionV>
                      <wp:extent cx="134471" cy="120650"/>
                      <wp:effectExtent l="38100" t="0" r="18415" b="50800"/>
                      <wp:wrapNone/>
                      <wp:docPr id="212" name="Straight Arrow Connector 212"/>
                      <wp:cNvGraphicFramePr/>
                      <a:graphic xmlns:a="http://schemas.openxmlformats.org/drawingml/2006/main">
                        <a:graphicData uri="http://schemas.microsoft.com/office/word/2010/wordprocessingShape">
                          <wps:wsp>
                            <wps:cNvCnPr/>
                            <wps:spPr>
                              <a:xfrm flipH="1">
                                <a:off x="0" y="0"/>
                                <a:ext cx="134471" cy="120650"/>
                              </a:xfrm>
                              <a:prstGeom prst="straightConnector1">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ACA2E2" id="Straight Arrow Connector 212" o:spid="_x0000_s1026" type="#_x0000_t32" style="position:absolute;margin-left:34.05pt;margin-top:236.7pt;width:10.6pt;height:9.5pt;flip:x;z-index:251673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" strokecolor="red" strokeweight="1.5pt">
                      <v:stroke endarrow="block" joinstyle="miter"/>
                    </v:shape>
                  </w:pict>
                </mc:Fallback>
              </mc:AlternateContent>
            </w:r>
            <w:r w:rsidR="00D346D5">
              <w:rPr>
                <w:noProof/>
              </w:rPr>
              <w:drawing>
                <wp:anchor distT="0" distB="0" distL="114300" distR="114300" simplePos="0" relativeHeight="251669543" behindDoc="0" locked="0" layoutInCell="1" allowOverlap="1" wp14:anchorId="1453F0D3" wp14:editId="734A8AAB">
                  <wp:simplePos x="0" y="0"/>
                  <wp:positionH relativeFrom="column">
                    <wp:posOffset>-3175</wp:posOffset>
                  </wp:positionH>
                  <wp:positionV relativeFrom="paragraph">
                    <wp:posOffset>180340</wp:posOffset>
                  </wp:positionV>
                  <wp:extent cx="3554095" cy="3099435"/>
                  <wp:effectExtent l="0" t="0" r="8255" b="5715"/>
                  <wp:wrapThrough wrapText="bothSides">
                    <wp:wrapPolygon edited="0">
                      <wp:start x="0" y="0"/>
                      <wp:lineTo x="0" y="21507"/>
                      <wp:lineTo x="21534" y="21507"/>
                      <wp:lineTo x="21534" y="0"/>
                      <wp:lineTo x="0" y="0"/>
                    </wp:wrapPolygon>
                  </wp:wrapThrough>
                  <wp:docPr id="221" name="Picture 22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 email&#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554095" cy="3099435"/>
                          </a:xfrm>
                          <a:prstGeom prst="rect">
                            <a:avLst/>
                          </a:prstGeom>
                        </pic:spPr>
                      </pic:pic>
                    </a:graphicData>
                  </a:graphic>
                  <wp14:sizeRelH relativeFrom="margin">
                    <wp14:pctWidth>0</wp14:pctWidth>
                  </wp14:sizeRelH>
                </wp:anchor>
              </w:drawing>
            </w:r>
          </w:p>
        </w:tc>
      </w:tr>
      <w:tr w:rsidR="003C2DDA" w:rsidRPr="00F2338D" w14:paraId="3B4994A5" w14:textId="77777777" w:rsidTr="00D346D5">
        <w:tc>
          <w:tcPr>
            <w:tcW w:w="5485" w:type="dxa"/>
          </w:tcPr>
          <w:p w14:paraId="7BA048B6" w14:textId="287061C8" w:rsidR="0001306D" w:rsidRDefault="0001306D" w:rsidP="00F648F9">
            <w:pPr>
              <w:pStyle w:val="ListParagraph"/>
              <w:numPr>
                <w:ilvl w:val="0"/>
                <w:numId w:val="7"/>
              </w:numPr>
            </w:pPr>
            <w:r>
              <w:t>In the next window, review your submission for accuracy. If no changes are needed, select “FINISH</w:t>
            </w:r>
            <w:r w:rsidR="00EE1766">
              <w:t>.”</w:t>
            </w:r>
            <w:r>
              <w:t xml:space="preserve"> </w:t>
            </w:r>
          </w:p>
          <w:p w14:paraId="4F126D7F" w14:textId="6A127F8F" w:rsidR="0001306D" w:rsidRDefault="0001306D" w:rsidP="00F648F9">
            <w:pPr>
              <w:pStyle w:val="ListParagraph"/>
              <w:numPr>
                <w:ilvl w:val="0"/>
                <w:numId w:val="7"/>
              </w:numPr>
            </w:pPr>
            <w:r>
              <w:t>If changes or notes are needed, or you missed a step that you need to correct, you can select “REVIEW REFERRAL/AUTH</w:t>
            </w:r>
            <w:r w:rsidR="00EE1766">
              <w:t>.”</w:t>
            </w:r>
            <w:r>
              <w:t xml:space="preserve"> </w:t>
            </w:r>
          </w:p>
          <w:p w14:paraId="7213B2E8" w14:textId="3CBEB7DC" w:rsidR="00AD76F9" w:rsidRPr="00F2338D" w:rsidRDefault="00AD76F9" w:rsidP="00AA4A42">
            <w:pPr>
              <w:rPr>
                <w:rFonts w:cs="Times New Roman"/>
                <w:b/>
                <w:szCs w:val="24"/>
              </w:rPr>
            </w:pPr>
          </w:p>
        </w:tc>
        <w:tc>
          <w:tcPr>
            <w:tcW w:w="8190" w:type="dxa"/>
          </w:tcPr>
          <w:p w14:paraId="787BAA84" w14:textId="62156C7A" w:rsidR="00AD76F9" w:rsidRPr="00D346D5" w:rsidRDefault="0001306D" w:rsidP="00D346D5">
            <w:pPr>
              <w:rPr>
                <w:rFonts w:cs="Times New Roman"/>
                <w:szCs w:val="24"/>
              </w:rPr>
            </w:pPr>
            <w:r>
              <w:rPr>
                <w:noProof/>
              </w:rPr>
              <mc:AlternateContent>
                <mc:Choice Requires="wps">
                  <w:drawing>
                    <wp:anchor distT="0" distB="0" distL="114300" distR="114300" simplePos="0" relativeHeight="251676711" behindDoc="0" locked="0" layoutInCell="1" allowOverlap="1" wp14:anchorId="10FF72E3" wp14:editId="03E0EDA9">
                      <wp:simplePos x="0" y="0"/>
                      <wp:positionH relativeFrom="column">
                        <wp:posOffset>2672554</wp:posOffset>
                      </wp:positionH>
                      <wp:positionV relativeFrom="paragraph">
                        <wp:posOffset>1032472</wp:posOffset>
                      </wp:positionV>
                      <wp:extent cx="134471" cy="120650"/>
                      <wp:effectExtent l="38100" t="0" r="18415" b="50800"/>
                      <wp:wrapNone/>
                      <wp:docPr id="215" name="Straight Arrow Connector 215"/>
                      <wp:cNvGraphicFramePr/>
                      <a:graphic xmlns:a="http://schemas.openxmlformats.org/drawingml/2006/main">
                        <a:graphicData uri="http://schemas.microsoft.com/office/word/2010/wordprocessingShape">
                          <wps:wsp>
                            <wps:cNvCnPr/>
                            <wps:spPr>
                              <a:xfrm flipH="1">
                                <a:off x="0" y="0"/>
                                <a:ext cx="134471" cy="120650"/>
                              </a:xfrm>
                              <a:prstGeom prst="straightConnector1">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EE0255" id="Straight Arrow Connector 215" o:spid="_x0000_s1026" type="#_x0000_t32" style="position:absolute;margin-left:210.45pt;margin-top:81.3pt;width:10.6pt;height:9.5pt;flip:x;z-index:251676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" strokecolor="red" strokeweight="1.5pt">
                      <v:stroke endarrow="block" joinstyle="miter"/>
                    </v:shape>
                  </w:pict>
                </mc:Fallback>
              </mc:AlternateContent>
            </w:r>
            <w:r>
              <w:rPr>
                <w:noProof/>
              </w:rPr>
              <w:drawing>
                <wp:anchor distT="0" distB="0" distL="114300" distR="114300" simplePos="0" relativeHeight="251671591" behindDoc="0" locked="0" layoutInCell="1" allowOverlap="1" wp14:anchorId="09EA2D28" wp14:editId="7424F23B">
                  <wp:simplePos x="0" y="0"/>
                  <wp:positionH relativeFrom="margin">
                    <wp:posOffset>1620491</wp:posOffset>
                  </wp:positionH>
                  <wp:positionV relativeFrom="paragraph">
                    <wp:posOffset>64457</wp:posOffset>
                  </wp:positionV>
                  <wp:extent cx="1378544" cy="1822076"/>
                  <wp:effectExtent l="0" t="0" r="0" b="6985"/>
                  <wp:wrapTopAndBottom/>
                  <wp:docPr id="222" name="Picture 22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Graphical user interface, text, applicati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378544" cy="1822076"/>
                          </a:xfrm>
                          <a:prstGeom prst="rect">
                            <a:avLst/>
                          </a:prstGeom>
                        </pic:spPr>
                      </pic:pic>
                    </a:graphicData>
                  </a:graphic>
                  <wp14:sizeRelH relativeFrom="margin">
                    <wp14:pctWidth>0</wp14:pctWidth>
                  </wp14:sizeRelH>
                  <wp14:sizeRelV relativeFrom="margin">
                    <wp14:pctHeight>0</wp14:pctHeight>
                  </wp14:sizeRelV>
                </wp:anchor>
              </w:drawing>
            </w:r>
          </w:p>
        </w:tc>
      </w:tr>
    </w:tbl>
    <w:p w14:paraId="69A07869" w14:textId="77777777" w:rsidR="00110B47" w:rsidRPr="000E42AC" w:rsidRDefault="00110B47" w:rsidP="005E5EB3">
      <w:pPr>
        <w:spacing w:after="0"/>
        <w:rPr>
          <w:rFonts w:cs="Times New Roman"/>
          <w:szCs w:val="24"/>
        </w:rPr>
      </w:pPr>
    </w:p>
    <w:p w14:paraId="02BC6ADF" w14:textId="77777777" w:rsidR="0001306D" w:rsidRDefault="0001306D" w:rsidP="0001306D">
      <w:bookmarkStart w:id="4" w:name="_Toc73117737"/>
    </w:p>
    <w:p w14:paraId="11DF2794" w14:textId="42185B63" w:rsidR="0001306D" w:rsidRPr="005E426A" w:rsidRDefault="0001306D" w:rsidP="00997FC0">
      <w:pPr>
        <w:pStyle w:val="Heading3"/>
        <w:rPr>
          <w:rFonts w:ascii="Arial" w:hAnsi="Arial" w:cs="Arial"/>
          <w:b/>
          <w:color w:val="006892"/>
        </w:rPr>
      </w:pPr>
      <w:r w:rsidRPr="0001306D">
        <w:rPr>
          <w:rFonts w:ascii="Arial" w:hAnsi="Arial" w:cs="Arial"/>
          <w:b/>
          <w:color w:val="006892"/>
        </w:rPr>
        <w:lastRenderedPageBreak/>
        <w:t>CORRECTIONS (CHANGES WHILE THE PA IS STILL PENDING DETERMINATION)</w:t>
      </w:r>
    </w:p>
    <w:p w14:paraId="77B9D7E3" w14:textId="3F05B52D" w:rsidR="003C2DDA" w:rsidRDefault="003C2DDA" w:rsidP="003C2DDA">
      <w:r>
        <w:rPr>
          <w:noProof/>
        </w:rPr>
        <w:drawing>
          <wp:anchor distT="0" distB="0" distL="114300" distR="114300" simplePos="0" relativeHeight="251679783" behindDoc="0" locked="0" layoutInCell="1" allowOverlap="1" wp14:anchorId="00943DE3" wp14:editId="3216B82D">
            <wp:simplePos x="0" y="0"/>
            <wp:positionH relativeFrom="column">
              <wp:posOffset>4277995</wp:posOffset>
            </wp:positionH>
            <wp:positionV relativeFrom="paragraph">
              <wp:posOffset>121285</wp:posOffset>
            </wp:positionV>
            <wp:extent cx="4479925" cy="2588260"/>
            <wp:effectExtent l="0" t="0" r="0" b="2540"/>
            <wp:wrapSquare wrapText="bothSides"/>
            <wp:docPr id="32" name="Picture 3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Graphical user interface, applicati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479925" cy="2588260"/>
                    </a:xfrm>
                    <a:prstGeom prst="rect">
                      <a:avLst/>
                    </a:prstGeom>
                  </pic:spPr>
                </pic:pic>
              </a:graphicData>
            </a:graphic>
            <wp14:sizeRelH relativeFrom="margin">
              <wp14:pctWidth>0</wp14:pctWidth>
            </wp14:sizeRelH>
            <wp14:sizeRelV relativeFrom="margin">
              <wp14:pctHeight>0</wp14:pctHeight>
            </wp14:sizeRelV>
          </wp:anchor>
        </w:drawing>
      </w:r>
      <w:r w:rsidR="0001306D">
        <w:t xml:space="preserve">If the status of the PA is blue, you can edit the PA and send a CIM email to </w:t>
      </w:r>
      <w:hyperlink r:id="rId26" w:history="1">
        <w:r w:rsidR="0001306D" w:rsidRPr="00886FC2">
          <w:rPr>
            <w:rStyle w:val="Hyperlink"/>
          </w:rPr>
          <w:t>PriorAuthorizations@umpquahealth.com</w:t>
        </w:r>
      </w:hyperlink>
      <w:r w:rsidR="0001306D">
        <w:t xml:space="preserve">, noting the change made. Example: A wrong diagnosis code was </w:t>
      </w:r>
      <w:r>
        <w:t>entered,</w:t>
      </w:r>
      <w:r w:rsidR="0001306D">
        <w:t xml:space="preserve"> or incomplete documentation was attached. </w:t>
      </w:r>
    </w:p>
    <w:p w14:paraId="53913AD0" w14:textId="37A02149" w:rsidR="003C2DDA" w:rsidRDefault="0001306D" w:rsidP="003C2DDA">
      <w:r>
        <w:t xml:space="preserve">If the status of the PA is approved or green, the determination has been complete, and an extension is required. </w:t>
      </w:r>
      <w:r w:rsidR="003C2DDA">
        <w:t xml:space="preserve">Select “Extend Authorization” in the top right corner of the PA. </w:t>
      </w:r>
    </w:p>
    <w:p w14:paraId="2A9F83A6" w14:textId="554843EB" w:rsidR="0001306D" w:rsidRDefault="0001306D" w:rsidP="00762767">
      <w:pPr>
        <w:spacing w:after="0"/>
      </w:pPr>
      <w:r>
        <w:t>If the status of the PA is denied or denied partial or red, the determination has been complete, and a new PA request is required</w:t>
      </w:r>
      <w:r w:rsidR="003C2DDA">
        <w:t xml:space="preserve"> for changes</w:t>
      </w:r>
      <w:r>
        <w:t xml:space="preserve">. </w:t>
      </w:r>
    </w:p>
    <w:p w14:paraId="506278B2" w14:textId="77777777" w:rsidR="00762767" w:rsidRDefault="00762767" w:rsidP="00762767">
      <w:pPr>
        <w:spacing w:after="0"/>
      </w:pPr>
    </w:p>
    <w:p w14:paraId="1C79A30C" w14:textId="0D1290C2" w:rsidR="003D7C00" w:rsidRDefault="00722F74" w:rsidP="00997FC0">
      <w:pPr>
        <w:pStyle w:val="Heading3"/>
        <w:rPr>
          <w:rFonts w:ascii="Arial" w:hAnsi="Arial" w:cs="Arial"/>
          <w:b/>
          <w:color w:val="006892"/>
        </w:rPr>
      </w:pPr>
      <w:r>
        <w:rPr>
          <w:rFonts w:ascii="Arial" w:hAnsi="Arial" w:cs="Arial"/>
          <w:b/>
          <w:color w:val="006892"/>
        </w:rPr>
        <w:t>PROCEDURE CODE GROUPS</w:t>
      </w:r>
    </w:p>
    <w:p w14:paraId="453E1F51" w14:textId="1876F3E1" w:rsidR="00722F74" w:rsidRDefault="00722F74" w:rsidP="00722F74">
      <w:pPr>
        <w:rPr>
          <w:rFonts w:cs="Times New Roman"/>
          <w:szCs w:val="24"/>
        </w:rPr>
      </w:pPr>
      <w:r w:rsidRPr="0072556E">
        <w:rPr>
          <w:rFonts w:cs="Times New Roman"/>
          <w:szCs w:val="24"/>
        </w:rPr>
        <w:t>UHA has combined certain procedure code</w:t>
      </w:r>
      <w:r>
        <w:rPr>
          <w:rFonts w:cs="Times New Roman"/>
          <w:szCs w:val="24"/>
        </w:rPr>
        <w:t>s</w:t>
      </w:r>
      <w:r w:rsidRPr="0072556E">
        <w:rPr>
          <w:rFonts w:cs="Times New Roman"/>
          <w:szCs w:val="24"/>
        </w:rPr>
        <w:t xml:space="preserve"> into code groups. This means you only need to enter one of these codes and the total quantity of visits instead of entering each code and quantity individually. </w:t>
      </w:r>
    </w:p>
    <w:p w14:paraId="7B443074" w14:textId="2676CBEB" w:rsidR="00722F74" w:rsidRDefault="00722F74" w:rsidP="00722F74">
      <w:pPr>
        <w:rPr>
          <w:rFonts w:cs="Times New Roman"/>
          <w:szCs w:val="24"/>
        </w:rPr>
      </w:pPr>
      <w:r w:rsidRPr="0072556E">
        <w:rPr>
          <w:rFonts w:cs="Times New Roman"/>
          <w:szCs w:val="24"/>
        </w:rPr>
        <w:t>For example, we have combined Chiropractic codes 98940, 98941, 97110, 97140, 97124 into a code group. If you are requesting 98940 x 4, 98941 x 4, 97110 x 4, 97140 x 4, 97124 x 4 you will enter 98940 and select the Chiropractic Code group radio button on the right. Enter the max quantity of 4. You will have then requested all codes within the group, for 4 visits each.</w:t>
      </w:r>
    </w:p>
    <w:p w14:paraId="06AA65DF" w14:textId="7012AA49" w:rsidR="00722F74" w:rsidRPr="0072556E" w:rsidRDefault="00722F74" w:rsidP="00722F74">
      <w:pPr>
        <w:rPr>
          <w:rFonts w:cs="Times New Roman"/>
          <w:szCs w:val="24"/>
        </w:rPr>
      </w:pPr>
      <w:r>
        <w:rPr>
          <w:rFonts w:cs="Times New Roman"/>
          <w:szCs w:val="24"/>
        </w:rPr>
        <w:lastRenderedPageBreak/>
        <w:t xml:space="preserve">When submitting a prior authorization request, </w:t>
      </w:r>
      <w:r w:rsidRPr="0072556E">
        <w:rPr>
          <w:rFonts w:cs="Times New Roman"/>
          <w:noProof/>
          <w:szCs w:val="24"/>
        </w:rPr>
        <w:drawing>
          <wp:anchor distT="0" distB="0" distL="114300" distR="114300" simplePos="0" relativeHeight="251683879" behindDoc="0" locked="0" layoutInCell="1" allowOverlap="1" wp14:anchorId="46CB31F9" wp14:editId="66DE33F7">
            <wp:simplePos x="0" y="0"/>
            <wp:positionH relativeFrom="column">
              <wp:posOffset>4694250</wp:posOffset>
            </wp:positionH>
            <wp:positionV relativeFrom="paragraph">
              <wp:posOffset>494</wp:posOffset>
            </wp:positionV>
            <wp:extent cx="3834130" cy="3319780"/>
            <wp:effectExtent l="0" t="0" r="0" b="0"/>
            <wp:wrapThrough wrapText="bothSides">
              <wp:wrapPolygon edited="0">
                <wp:start x="0" y="0"/>
                <wp:lineTo x="0" y="21443"/>
                <wp:lineTo x="21464" y="21443"/>
                <wp:lineTo x="21464" y="0"/>
                <wp:lineTo x="0" y="0"/>
              </wp:wrapPolygon>
            </wp:wrapThrough>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834130" cy="331978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szCs w:val="24"/>
        </w:rPr>
        <w:t>e</w:t>
      </w:r>
      <w:r w:rsidRPr="0072556E">
        <w:rPr>
          <w:rFonts w:cs="Times New Roman"/>
          <w:szCs w:val="24"/>
        </w:rPr>
        <w:t xml:space="preserve">nter the diagnosis code, procedure code, date range and max units. </w:t>
      </w:r>
    </w:p>
    <w:p w14:paraId="5212C2F9" w14:textId="7D0ABC9E" w:rsidR="00722F74" w:rsidRPr="00722F74" w:rsidRDefault="00722F74" w:rsidP="00722F74">
      <w:pPr>
        <w:rPr>
          <w:rFonts w:cs="Times New Roman"/>
          <w:szCs w:val="24"/>
        </w:rPr>
      </w:pPr>
      <w:r w:rsidRPr="0072556E">
        <w:rPr>
          <w:noProof/>
        </w:rPr>
        <mc:AlternateContent>
          <mc:Choice Requires="wps">
            <w:drawing>
              <wp:anchor distT="0" distB="0" distL="114300" distR="114300" simplePos="0" relativeHeight="251687975" behindDoc="0" locked="0" layoutInCell="1" allowOverlap="1" wp14:anchorId="13CB8CBC" wp14:editId="02E2D3C1">
                <wp:simplePos x="0" y="0"/>
                <wp:positionH relativeFrom="column">
                  <wp:posOffset>6193790</wp:posOffset>
                </wp:positionH>
                <wp:positionV relativeFrom="paragraph">
                  <wp:posOffset>1353820</wp:posOffset>
                </wp:positionV>
                <wp:extent cx="185464" cy="158567"/>
                <wp:effectExtent l="38100" t="0" r="24130" b="51435"/>
                <wp:wrapNone/>
                <wp:docPr id="12" name="Straight Arrow Connector 12"/>
                <wp:cNvGraphicFramePr/>
                <a:graphic xmlns:a="http://schemas.openxmlformats.org/drawingml/2006/main">
                  <a:graphicData uri="http://schemas.microsoft.com/office/word/2010/wordprocessingShape">
                    <wps:wsp>
                      <wps:cNvCnPr/>
                      <wps:spPr>
                        <a:xfrm flipH="1">
                          <a:off x="0" y="0"/>
                          <a:ext cx="185464" cy="158567"/>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80892C" id="Straight Arrow Connector 12" o:spid="_x0000_s1026" type="#_x0000_t32" style="position:absolute;margin-left:487.7pt;margin-top:106.6pt;width:14.6pt;height:12.5pt;flip:x;z-index:251687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" strokecolor="red" strokeweight=".5pt">
                <v:stroke endarrow="block" joinstyle="miter"/>
              </v:shape>
            </w:pict>
          </mc:Fallback>
        </mc:AlternateContent>
      </w:r>
      <w:r w:rsidRPr="00722F74">
        <w:rPr>
          <w:rFonts w:cs="Times New Roman"/>
          <w:szCs w:val="24"/>
        </w:rPr>
        <w:t xml:space="preserve">To select or view the availability of a code group, enter the procedure </w:t>
      </w:r>
      <w:r w:rsidR="00EE1766" w:rsidRPr="00722F74">
        <w:rPr>
          <w:rFonts w:cs="Times New Roman"/>
          <w:szCs w:val="24"/>
        </w:rPr>
        <w:t>code,</w:t>
      </w:r>
      <w:r w:rsidRPr="00722F74">
        <w:rPr>
          <w:rFonts w:cs="Times New Roman"/>
          <w:szCs w:val="24"/>
        </w:rPr>
        <w:t xml:space="preserve"> and select it from the autocompleted hyperlink. Then select the </w:t>
      </w:r>
      <w:r w:rsidR="00EE1766" w:rsidRPr="00722F74">
        <w:rPr>
          <w:rFonts w:cs="Times New Roman"/>
          <w:szCs w:val="24"/>
        </w:rPr>
        <w:t>drop-down</w:t>
      </w:r>
      <w:r w:rsidRPr="00722F74">
        <w:rPr>
          <w:rFonts w:cs="Times New Roman"/>
          <w:szCs w:val="24"/>
        </w:rPr>
        <w:t xml:space="preserve"> menu labeled “Procedure Code Group</w:t>
      </w:r>
      <w:r w:rsidR="00EE1766" w:rsidRPr="00722F74">
        <w:rPr>
          <w:rFonts w:cs="Times New Roman"/>
          <w:szCs w:val="24"/>
        </w:rPr>
        <w:t>.”</w:t>
      </w:r>
      <w:r w:rsidRPr="00722F74">
        <w:rPr>
          <w:rFonts w:cs="Times New Roman"/>
          <w:szCs w:val="24"/>
        </w:rPr>
        <w:t xml:space="preserve"> </w:t>
      </w:r>
    </w:p>
    <w:p w14:paraId="53460DBD" w14:textId="375EB761" w:rsidR="00722F74" w:rsidRDefault="00722F74" w:rsidP="00722F74">
      <w:pPr>
        <w:rPr>
          <w:rFonts w:cs="Times New Roman"/>
          <w:szCs w:val="24"/>
        </w:rPr>
      </w:pPr>
      <w:r w:rsidRPr="00722F74">
        <w:rPr>
          <w:rFonts w:cs="Times New Roman"/>
          <w:szCs w:val="24"/>
        </w:rPr>
        <w:t>If the only option is “Default (Use specific codes)” then there is not a code group available. If there is a code group available, it will appear in this list above the default option. Then select ADD.</w:t>
      </w:r>
    </w:p>
    <w:p w14:paraId="47ADE789" w14:textId="7173AB04" w:rsidR="00722F74" w:rsidRDefault="00722F74" w:rsidP="00722F74">
      <w:pPr>
        <w:rPr>
          <w:rFonts w:cs="Times New Roman"/>
          <w:szCs w:val="24"/>
        </w:rPr>
      </w:pPr>
      <w:r>
        <w:rPr>
          <w:rFonts w:cs="Times New Roman"/>
          <w:szCs w:val="24"/>
        </w:rPr>
        <w:t xml:space="preserve">You can also view the code group codes when reviewing your submission by selecting the “i” under the Code Group section of the service line. </w:t>
      </w:r>
    </w:p>
    <w:p w14:paraId="7D74A3F9" w14:textId="669CFEA7" w:rsidR="00722F74" w:rsidRPr="00722F74" w:rsidRDefault="00722F74" w:rsidP="00722F74">
      <w:pPr>
        <w:rPr>
          <w:rFonts w:cs="Times New Roman"/>
          <w:szCs w:val="24"/>
        </w:rPr>
      </w:pPr>
      <w:r>
        <w:rPr>
          <w:rFonts w:cs="Times New Roman"/>
          <w:szCs w:val="24"/>
        </w:rPr>
        <w:t xml:space="preserve">To verify how codes within each code group are used, please refer to the Code Groups Instructional on our website at </w:t>
      </w:r>
      <w:hyperlink r:id="rId28" w:history="1">
        <w:r w:rsidRPr="00811FCE">
          <w:rPr>
            <w:rStyle w:val="Hyperlink"/>
            <w:rFonts w:cs="Times New Roman"/>
            <w:szCs w:val="24"/>
          </w:rPr>
          <w:t>www.umpquahealth.com/priorauthorizations</w:t>
        </w:r>
      </w:hyperlink>
      <w:r>
        <w:rPr>
          <w:rFonts w:cs="Times New Roman"/>
          <w:szCs w:val="24"/>
        </w:rPr>
        <w:t xml:space="preserve">. </w:t>
      </w:r>
    </w:p>
    <w:p w14:paraId="4189EDF7" w14:textId="77777777" w:rsidR="00722F74" w:rsidRPr="0072556E" w:rsidRDefault="00722F74" w:rsidP="00722F74">
      <w:pPr>
        <w:pStyle w:val="ListParagraph"/>
        <w:rPr>
          <w:rFonts w:cs="Times New Roman"/>
          <w:szCs w:val="24"/>
        </w:rPr>
      </w:pPr>
    </w:p>
    <w:p w14:paraId="637B028E" w14:textId="77777777" w:rsidR="00722F74" w:rsidRPr="0072556E" w:rsidRDefault="00722F74" w:rsidP="00722F74">
      <w:pPr>
        <w:pStyle w:val="ListParagraph"/>
        <w:rPr>
          <w:rFonts w:cs="Times New Roman"/>
          <w:szCs w:val="24"/>
        </w:rPr>
      </w:pPr>
    </w:p>
    <w:p w14:paraId="011DFC06" w14:textId="77777777" w:rsidR="00722F74" w:rsidRPr="0072556E" w:rsidRDefault="00722F74" w:rsidP="00722F74">
      <w:pPr>
        <w:pStyle w:val="ListParagraph"/>
        <w:rPr>
          <w:rFonts w:cs="Times New Roman"/>
          <w:szCs w:val="24"/>
        </w:rPr>
      </w:pPr>
    </w:p>
    <w:p w14:paraId="765A1E02" w14:textId="77777777" w:rsidR="00722F74" w:rsidRPr="0072556E" w:rsidRDefault="00722F74" w:rsidP="00722F74">
      <w:pPr>
        <w:pStyle w:val="ListParagraph"/>
        <w:rPr>
          <w:rFonts w:cs="Times New Roman"/>
          <w:szCs w:val="24"/>
        </w:rPr>
      </w:pPr>
      <w:r w:rsidRPr="0072556E">
        <w:rPr>
          <w:rFonts w:cs="Times New Roman"/>
          <w:noProof/>
          <w:szCs w:val="24"/>
        </w:rPr>
        <w:drawing>
          <wp:anchor distT="0" distB="0" distL="114300" distR="114300" simplePos="0" relativeHeight="251688999" behindDoc="0" locked="0" layoutInCell="1" allowOverlap="1" wp14:anchorId="6DF8FC31" wp14:editId="03EFD16D">
            <wp:simplePos x="0" y="0"/>
            <wp:positionH relativeFrom="column">
              <wp:posOffset>-342900</wp:posOffset>
            </wp:positionH>
            <wp:positionV relativeFrom="paragraph">
              <wp:posOffset>-111125</wp:posOffset>
            </wp:positionV>
            <wp:extent cx="4286250" cy="2870994"/>
            <wp:effectExtent l="0" t="0" r="0" b="5715"/>
            <wp:wrapNone/>
            <wp:docPr id="13" name="Picture 13" descr="Graphical user interface,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application, email&#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4286250" cy="2870994"/>
                    </a:xfrm>
                    <a:prstGeom prst="rect">
                      <a:avLst/>
                    </a:prstGeom>
                  </pic:spPr>
                </pic:pic>
              </a:graphicData>
            </a:graphic>
          </wp:anchor>
        </w:drawing>
      </w:r>
    </w:p>
    <w:p w14:paraId="7A3E3CE4" w14:textId="77777777" w:rsidR="00722F74" w:rsidRPr="0072556E" w:rsidRDefault="00722F74" w:rsidP="00722F74">
      <w:pPr>
        <w:pStyle w:val="ListParagraph"/>
        <w:rPr>
          <w:rFonts w:cs="Times New Roman"/>
          <w:szCs w:val="24"/>
        </w:rPr>
      </w:pPr>
    </w:p>
    <w:p w14:paraId="40B30079" w14:textId="77777777" w:rsidR="00722F74" w:rsidRPr="0072556E" w:rsidRDefault="00722F74" w:rsidP="00722F74">
      <w:pPr>
        <w:pStyle w:val="ListParagraph"/>
        <w:rPr>
          <w:rFonts w:cs="Times New Roman"/>
          <w:szCs w:val="24"/>
        </w:rPr>
      </w:pPr>
    </w:p>
    <w:p w14:paraId="2E25EF5C" w14:textId="77777777" w:rsidR="00722F74" w:rsidRPr="0072556E" w:rsidRDefault="00722F74" w:rsidP="00722F74">
      <w:pPr>
        <w:pStyle w:val="ListParagraph"/>
        <w:rPr>
          <w:rFonts w:cs="Times New Roman"/>
          <w:szCs w:val="24"/>
        </w:rPr>
      </w:pPr>
    </w:p>
    <w:p w14:paraId="005C6841" w14:textId="77777777" w:rsidR="00722F74" w:rsidRPr="0072556E" w:rsidRDefault="00722F74" w:rsidP="00722F74">
      <w:pPr>
        <w:pStyle w:val="ListParagraph"/>
        <w:rPr>
          <w:rFonts w:cs="Times New Roman"/>
          <w:szCs w:val="24"/>
        </w:rPr>
      </w:pPr>
    </w:p>
    <w:p w14:paraId="74183231" w14:textId="77777777" w:rsidR="00722F74" w:rsidRPr="0072556E" w:rsidRDefault="00722F74" w:rsidP="00722F74">
      <w:pPr>
        <w:pStyle w:val="ListParagraph"/>
        <w:rPr>
          <w:rFonts w:cs="Times New Roman"/>
          <w:szCs w:val="24"/>
        </w:rPr>
      </w:pPr>
    </w:p>
    <w:p w14:paraId="5F4A84ED" w14:textId="77777777" w:rsidR="00722F74" w:rsidRPr="0072556E" w:rsidRDefault="00722F74" w:rsidP="00722F74">
      <w:pPr>
        <w:pStyle w:val="ListParagraph"/>
        <w:rPr>
          <w:rFonts w:cs="Times New Roman"/>
          <w:szCs w:val="24"/>
        </w:rPr>
      </w:pPr>
    </w:p>
    <w:p w14:paraId="48DA5B61" w14:textId="77777777" w:rsidR="00722F74" w:rsidRPr="0072556E" w:rsidRDefault="00722F74" w:rsidP="00722F74">
      <w:pPr>
        <w:pStyle w:val="ListParagraph"/>
        <w:rPr>
          <w:rFonts w:cs="Times New Roman"/>
          <w:szCs w:val="24"/>
        </w:rPr>
      </w:pPr>
      <w:r w:rsidRPr="0072556E">
        <w:rPr>
          <w:rFonts w:cs="Times New Roman"/>
          <w:szCs w:val="24"/>
        </w:rPr>
        <w:t>.</w:t>
      </w:r>
    </w:p>
    <w:p w14:paraId="7BF06590" w14:textId="77777777" w:rsidR="00722F74" w:rsidRPr="0072556E" w:rsidRDefault="00722F74" w:rsidP="00722F74">
      <w:pPr>
        <w:pStyle w:val="ListParagraph"/>
        <w:rPr>
          <w:rFonts w:cs="Times New Roman"/>
          <w:szCs w:val="24"/>
        </w:rPr>
      </w:pPr>
    </w:p>
    <w:p w14:paraId="50753089" w14:textId="77777777" w:rsidR="00722F74" w:rsidRDefault="00722F74" w:rsidP="00722F74">
      <w:pPr>
        <w:pStyle w:val="ListParagraph"/>
        <w:rPr>
          <w:rFonts w:cs="Times New Roman"/>
          <w:szCs w:val="24"/>
        </w:rPr>
      </w:pPr>
    </w:p>
    <w:p w14:paraId="3AD3CEE9" w14:textId="77777777" w:rsidR="00722F74" w:rsidRDefault="00722F74" w:rsidP="00722F74">
      <w:pPr>
        <w:pStyle w:val="ListParagraph"/>
        <w:rPr>
          <w:rFonts w:cs="Times New Roman"/>
          <w:szCs w:val="24"/>
        </w:rPr>
      </w:pPr>
    </w:p>
    <w:p w14:paraId="6AB5A3FF" w14:textId="77777777" w:rsidR="00722F74" w:rsidRDefault="00722F74" w:rsidP="00722F74">
      <w:pPr>
        <w:pStyle w:val="ListParagraph"/>
        <w:rPr>
          <w:rFonts w:cs="Times New Roman"/>
          <w:szCs w:val="24"/>
        </w:rPr>
      </w:pPr>
    </w:p>
    <w:p w14:paraId="6E9F10BC" w14:textId="5D787A5A" w:rsidR="003D7C00" w:rsidRPr="003D7C00" w:rsidRDefault="003D7C00" w:rsidP="00997FC0">
      <w:pPr>
        <w:pStyle w:val="Heading3"/>
        <w:rPr>
          <w:rFonts w:ascii="Arial" w:hAnsi="Arial" w:cs="Arial"/>
          <w:b/>
          <w:color w:val="006892"/>
        </w:rPr>
      </w:pPr>
      <w:r w:rsidRPr="003D7C00">
        <w:rPr>
          <w:rFonts w:ascii="Arial" w:hAnsi="Arial" w:cs="Arial"/>
          <w:b/>
          <w:color w:val="006892"/>
        </w:rPr>
        <w:lastRenderedPageBreak/>
        <w:t>AMENDMENTS AND EXTENSIONS</w:t>
      </w:r>
      <w:r>
        <w:rPr>
          <w:rFonts w:ascii="Arial" w:hAnsi="Arial" w:cs="Arial"/>
          <w:b/>
          <w:color w:val="006892"/>
        </w:rPr>
        <w:t xml:space="preserve"> (FINAL STATUS)</w:t>
      </w:r>
    </w:p>
    <w:p w14:paraId="6751E126" w14:textId="5395F2C5" w:rsidR="003D7C00" w:rsidRPr="003D7C00" w:rsidRDefault="003D7C00" w:rsidP="003D7C00">
      <w:pPr>
        <w:pStyle w:val="NoSpacing"/>
        <w:rPr>
          <w:rFonts w:ascii="Times New Roman" w:hAnsi="Times New Roman" w:cs="Times New Roman"/>
          <w:bCs/>
          <w:sz w:val="24"/>
          <w:szCs w:val="24"/>
        </w:rPr>
      </w:pPr>
      <w:r w:rsidRPr="003D7C00">
        <w:rPr>
          <w:rFonts w:ascii="Times New Roman" w:hAnsi="Times New Roman" w:cs="Times New Roman"/>
          <w:bCs/>
          <w:sz w:val="24"/>
          <w:szCs w:val="24"/>
        </w:rPr>
        <w:t xml:space="preserve">An amend is anything that needs to be added or changed after a prior authorization has been finalized approved/denied/dismissed/withdrawn). </w:t>
      </w:r>
    </w:p>
    <w:p w14:paraId="4B375B86" w14:textId="77777777" w:rsidR="003D7C00" w:rsidRPr="003D7C00" w:rsidRDefault="003D7C00" w:rsidP="003D7C00">
      <w:pPr>
        <w:pStyle w:val="NoSpacing"/>
        <w:rPr>
          <w:rFonts w:ascii="Times New Roman" w:hAnsi="Times New Roman" w:cs="Times New Roman"/>
          <w:bCs/>
          <w:sz w:val="24"/>
          <w:szCs w:val="24"/>
        </w:rPr>
      </w:pPr>
      <w:r w:rsidRPr="003D7C00">
        <w:rPr>
          <w:rFonts w:ascii="Times New Roman" w:hAnsi="Times New Roman" w:cs="Times New Roman"/>
          <w:bCs/>
          <w:sz w:val="24"/>
          <w:szCs w:val="24"/>
        </w:rPr>
        <w:t xml:space="preserve">Internally, we use “amend” for an edit and “extension” for an inpatient request where we are extending the end date to cover the full stay. This is the terminology to be used in the comment field. URS will always reference the previous PA in sequence (not the original PA reference number). Every PA that has been extended, the last PA in sequence will override all previous extensions or associated PA’s (links). </w:t>
      </w:r>
    </w:p>
    <w:p w14:paraId="27BA988A" w14:textId="77777777" w:rsidR="003D7C00" w:rsidRDefault="003D7C00" w:rsidP="003D7C00">
      <w:pPr>
        <w:pStyle w:val="NoSpacing"/>
        <w:rPr>
          <w:rFonts w:ascii="Times New Roman" w:hAnsi="Times New Roman" w:cs="Times New Roman"/>
          <w:bCs/>
          <w:sz w:val="24"/>
          <w:szCs w:val="24"/>
        </w:rPr>
      </w:pPr>
    </w:p>
    <w:p w14:paraId="3C0F591B" w14:textId="77777777" w:rsidR="003D7C00" w:rsidRDefault="003D7C00" w:rsidP="003D7C00">
      <w:pPr>
        <w:pStyle w:val="NoSpacing"/>
        <w:rPr>
          <w:rFonts w:ascii="Times New Roman" w:hAnsi="Times New Roman" w:cs="Times New Roman"/>
          <w:bCs/>
          <w:sz w:val="24"/>
          <w:szCs w:val="24"/>
        </w:rPr>
      </w:pPr>
      <w:r>
        <w:rPr>
          <w:rFonts w:ascii="Times New Roman" w:hAnsi="Times New Roman" w:cs="Times New Roman"/>
          <w:bCs/>
          <w:sz w:val="24"/>
          <w:szCs w:val="24"/>
        </w:rPr>
        <w:t xml:space="preserve">Supporting documentation is required </w:t>
      </w:r>
      <w:r w:rsidRPr="003D7C00">
        <w:rPr>
          <w:rFonts w:ascii="Times New Roman" w:hAnsi="Times New Roman" w:cs="Times New Roman"/>
          <w:bCs/>
          <w:sz w:val="24"/>
          <w:szCs w:val="24"/>
        </w:rPr>
        <w:t>to add codes. Date/provider changes do not need supporting documentation attached, but is preferred (these are still valid requests, but will follow the “no documentation provided” workflow.</w:t>
      </w:r>
    </w:p>
    <w:p w14:paraId="2E49A3E0" w14:textId="32C49EDD" w:rsidR="003D7C00" w:rsidRPr="003D7C00" w:rsidRDefault="003D7C00" w:rsidP="003D7C00">
      <w:pPr>
        <w:pStyle w:val="NoSpacing"/>
        <w:rPr>
          <w:rFonts w:ascii="Times New Roman" w:hAnsi="Times New Roman" w:cs="Times New Roman"/>
          <w:bCs/>
          <w:sz w:val="24"/>
          <w:szCs w:val="24"/>
        </w:rPr>
      </w:pPr>
      <w:r w:rsidRPr="003D7C00">
        <w:rPr>
          <w:rFonts w:ascii="Times New Roman" w:hAnsi="Times New Roman" w:cs="Times New Roman"/>
          <w:bCs/>
          <w:sz w:val="24"/>
          <w:szCs w:val="24"/>
        </w:rPr>
        <w:t xml:space="preserve"> </w:t>
      </w:r>
    </w:p>
    <w:p w14:paraId="5A2081EB" w14:textId="77777777" w:rsidR="003D7C00" w:rsidRPr="003D7C00" w:rsidRDefault="003D7C00" w:rsidP="003D7C00">
      <w:pPr>
        <w:pStyle w:val="NoSpacing"/>
        <w:rPr>
          <w:rFonts w:ascii="Times New Roman" w:hAnsi="Times New Roman" w:cs="Times New Roman"/>
          <w:bCs/>
          <w:sz w:val="24"/>
          <w:szCs w:val="24"/>
        </w:rPr>
      </w:pPr>
      <w:r w:rsidRPr="003D7C00">
        <w:rPr>
          <w:rFonts w:ascii="Times New Roman" w:hAnsi="Times New Roman" w:cs="Times New Roman"/>
          <w:bCs/>
          <w:sz w:val="24"/>
          <w:szCs w:val="24"/>
        </w:rPr>
        <w:t xml:space="preserve">For providers with CIM access: </w:t>
      </w:r>
    </w:p>
    <w:p w14:paraId="2C250165" w14:textId="3E4F4C9D" w:rsidR="003D7C00" w:rsidRPr="003D7C00" w:rsidRDefault="003D7C00" w:rsidP="00F648F9">
      <w:pPr>
        <w:pStyle w:val="NoSpacing"/>
        <w:numPr>
          <w:ilvl w:val="0"/>
          <w:numId w:val="12"/>
        </w:numPr>
        <w:rPr>
          <w:rFonts w:ascii="Times New Roman" w:hAnsi="Times New Roman" w:cs="Times New Roman"/>
          <w:bCs/>
          <w:sz w:val="24"/>
          <w:szCs w:val="24"/>
        </w:rPr>
      </w:pPr>
      <w:r w:rsidRPr="003D7C00">
        <w:rPr>
          <w:rFonts w:ascii="Times New Roman" w:hAnsi="Times New Roman" w:cs="Times New Roman"/>
          <w:bCs/>
          <w:sz w:val="24"/>
          <w:szCs w:val="24"/>
        </w:rPr>
        <w:t xml:space="preserve">A new request, submitted by the requesting provider, in the form of an extension. If URS identifies that it is an amend, a phone call/email to the provider to clarify and documentation supporting the amend (MMC note of phone call) is required. </w:t>
      </w:r>
    </w:p>
    <w:p w14:paraId="22B33E2F" w14:textId="5AB83A54" w:rsidR="003D7C00" w:rsidRDefault="003D7C00" w:rsidP="00F648F9">
      <w:pPr>
        <w:pStyle w:val="NoSpacing"/>
        <w:numPr>
          <w:ilvl w:val="0"/>
          <w:numId w:val="12"/>
        </w:numPr>
        <w:rPr>
          <w:rFonts w:ascii="Times New Roman" w:hAnsi="Times New Roman" w:cs="Times New Roman"/>
          <w:bCs/>
          <w:sz w:val="24"/>
          <w:szCs w:val="24"/>
        </w:rPr>
      </w:pPr>
      <w:r w:rsidRPr="003D7C00">
        <w:rPr>
          <w:rFonts w:ascii="Times New Roman" w:hAnsi="Times New Roman" w:cs="Times New Roman"/>
          <w:bCs/>
          <w:sz w:val="24"/>
          <w:szCs w:val="24"/>
        </w:rPr>
        <w:t xml:space="preserve">If a provide sends an email to UHA requesting an amend, URS are to reply with the email template indicating that they must resubmit as an extension and how. If the provider is unable to extend, have them submit the request as a new request indicate the change in the comment field, URS will link the requests together. </w:t>
      </w:r>
    </w:p>
    <w:p w14:paraId="68A28F5A" w14:textId="11CC0A76" w:rsidR="003D7C00" w:rsidRPr="003D7C00" w:rsidRDefault="003D7C00" w:rsidP="00F648F9">
      <w:pPr>
        <w:pStyle w:val="NoSpacing"/>
        <w:numPr>
          <w:ilvl w:val="0"/>
          <w:numId w:val="12"/>
        </w:numPr>
        <w:rPr>
          <w:rFonts w:ascii="Times New Roman" w:hAnsi="Times New Roman" w:cs="Times New Roman"/>
          <w:bCs/>
          <w:sz w:val="24"/>
          <w:szCs w:val="24"/>
        </w:rPr>
      </w:pPr>
      <w:r>
        <w:rPr>
          <w:rFonts w:ascii="Times New Roman" w:hAnsi="Times New Roman" w:cs="Times New Roman"/>
          <w:bCs/>
          <w:sz w:val="24"/>
          <w:szCs w:val="24"/>
        </w:rPr>
        <w:t xml:space="preserve">Extensions for additional days requests (concurrent review) will have overlapping dates from the previous review. See specific auth type directions below. </w:t>
      </w:r>
    </w:p>
    <w:p w14:paraId="51655748" w14:textId="77777777" w:rsidR="003D7C00" w:rsidRPr="003D7C00" w:rsidRDefault="003D7C00" w:rsidP="003D7C00">
      <w:pPr>
        <w:pStyle w:val="NoSpacing"/>
        <w:rPr>
          <w:rFonts w:ascii="Times New Roman" w:hAnsi="Times New Roman" w:cs="Times New Roman"/>
          <w:bCs/>
          <w:sz w:val="24"/>
          <w:szCs w:val="24"/>
        </w:rPr>
      </w:pPr>
      <w:r w:rsidRPr="003D7C00">
        <w:rPr>
          <w:rFonts w:ascii="Times New Roman" w:hAnsi="Times New Roman" w:cs="Times New Roman"/>
          <w:bCs/>
          <w:sz w:val="24"/>
          <w:szCs w:val="24"/>
        </w:rPr>
        <w:t xml:space="preserve">For providers without CIM access: </w:t>
      </w:r>
    </w:p>
    <w:p w14:paraId="37D24690" w14:textId="053CB815" w:rsidR="003D7C00" w:rsidRDefault="003D7C00" w:rsidP="00F648F9">
      <w:pPr>
        <w:pStyle w:val="NoSpacing"/>
        <w:numPr>
          <w:ilvl w:val="0"/>
          <w:numId w:val="13"/>
        </w:numPr>
        <w:rPr>
          <w:rFonts w:ascii="Times New Roman" w:hAnsi="Times New Roman" w:cs="Times New Roman"/>
          <w:bCs/>
          <w:sz w:val="24"/>
          <w:szCs w:val="24"/>
        </w:rPr>
      </w:pPr>
      <w:r w:rsidRPr="003D7C00">
        <w:rPr>
          <w:rFonts w:ascii="Times New Roman" w:hAnsi="Times New Roman" w:cs="Times New Roman"/>
          <w:bCs/>
          <w:sz w:val="24"/>
          <w:szCs w:val="24"/>
        </w:rPr>
        <w:t>A new PA request form faxed to UHA detailing the change.</w:t>
      </w:r>
    </w:p>
    <w:p w14:paraId="056EB4B5" w14:textId="77777777" w:rsidR="003D7C00" w:rsidRPr="003D7C00" w:rsidRDefault="003D7C00" w:rsidP="003D7C00">
      <w:pPr>
        <w:pStyle w:val="NoSpacing"/>
        <w:ind w:left="720"/>
        <w:rPr>
          <w:rFonts w:ascii="Times New Roman" w:hAnsi="Times New Roman" w:cs="Times New Roman"/>
          <w:bCs/>
          <w:sz w:val="24"/>
          <w:szCs w:val="24"/>
        </w:rPr>
      </w:pPr>
    </w:p>
    <w:tbl>
      <w:tblPr>
        <w:tblW w:w="138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2"/>
        <w:gridCol w:w="7200"/>
      </w:tblGrid>
      <w:tr w:rsidR="003D7C00" w:rsidRPr="003D7C00" w14:paraId="2399CDBB" w14:textId="77777777" w:rsidTr="00722F74">
        <w:tc>
          <w:tcPr>
            <w:tcW w:w="6652" w:type="dxa"/>
            <w:tcBorders>
              <w:top w:val="single" w:sz="6" w:space="0" w:color="auto"/>
              <w:left w:val="single" w:sz="6" w:space="0" w:color="auto"/>
              <w:bottom w:val="single" w:sz="6" w:space="0" w:color="auto"/>
              <w:right w:val="single" w:sz="6" w:space="0" w:color="auto"/>
            </w:tcBorders>
            <w:shd w:val="clear" w:color="auto" w:fill="auto"/>
            <w:hideMark/>
          </w:tcPr>
          <w:p w14:paraId="5F27D1BD" w14:textId="77777777" w:rsidR="003D7C00" w:rsidRPr="00027F5F" w:rsidRDefault="003D7C00" w:rsidP="003D7C00">
            <w:pPr>
              <w:spacing w:after="0" w:line="240" w:lineRule="auto"/>
              <w:jc w:val="center"/>
              <w:textAlignment w:val="baseline"/>
              <w:rPr>
                <w:rFonts w:eastAsia="Times New Roman" w:cs="Times New Roman"/>
                <w:color w:val="2F5496"/>
                <w:szCs w:val="24"/>
              </w:rPr>
            </w:pPr>
            <w:r w:rsidRPr="00027F5F">
              <w:rPr>
                <w:rFonts w:eastAsia="Times New Roman" w:cs="Times New Roman"/>
                <w:b/>
                <w:bCs/>
                <w:color w:val="2F5496"/>
                <w:szCs w:val="24"/>
              </w:rPr>
              <w:t>What can be amended?</w:t>
            </w:r>
            <w:r w:rsidRPr="00027F5F">
              <w:rPr>
                <w:rFonts w:eastAsia="Times New Roman" w:cs="Times New Roman"/>
                <w:color w:val="2F5496"/>
                <w:szCs w:val="24"/>
              </w:rPr>
              <w:t> </w:t>
            </w:r>
          </w:p>
        </w:tc>
        <w:tc>
          <w:tcPr>
            <w:tcW w:w="7200" w:type="dxa"/>
            <w:tcBorders>
              <w:top w:val="single" w:sz="6" w:space="0" w:color="auto"/>
              <w:left w:val="single" w:sz="6" w:space="0" w:color="auto"/>
              <w:bottom w:val="single" w:sz="6" w:space="0" w:color="auto"/>
              <w:right w:val="single" w:sz="6" w:space="0" w:color="auto"/>
            </w:tcBorders>
            <w:shd w:val="clear" w:color="auto" w:fill="auto"/>
            <w:hideMark/>
          </w:tcPr>
          <w:p w14:paraId="15A6305B" w14:textId="77777777" w:rsidR="003D7C00" w:rsidRPr="00027F5F" w:rsidRDefault="003D7C00" w:rsidP="003D7C00">
            <w:pPr>
              <w:spacing w:after="0" w:line="240" w:lineRule="auto"/>
              <w:jc w:val="center"/>
              <w:textAlignment w:val="baseline"/>
              <w:rPr>
                <w:rFonts w:eastAsia="Times New Roman" w:cs="Times New Roman"/>
                <w:color w:val="2F5496"/>
                <w:szCs w:val="24"/>
              </w:rPr>
            </w:pPr>
            <w:r w:rsidRPr="00027F5F">
              <w:rPr>
                <w:rFonts w:eastAsia="Times New Roman" w:cs="Times New Roman"/>
                <w:b/>
                <w:bCs/>
                <w:color w:val="2F5496"/>
                <w:szCs w:val="24"/>
              </w:rPr>
              <w:t>What cannot be amended?</w:t>
            </w:r>
            <w:r w:rsidRPr="00027F5F">
              <w:rPr>
                <w:rFonts w:eastAsia="Times New Roman" w:cs="Times New Roman"/>
                <w:color w:val="2F5496"/>
                <w:szCs w:val="24"/>
              </w:rPr>
              <w:t> </w:t>
            </w:r>
          </w:p>
        </w:tc>
      </w:tr>
      <w:tr w:rsidR="003D7C00" w:rsidRPr="003D7C00" w14:paraId="539AA891" w14:textId="77777777" w:rsidTr="00722F74">
        <w:tc>
          <w:tcPr>
            <w:tcW w:w="6652" w:type="dxa"/>
            <w:tcBorders>
              <w:top w:val="single" w:sz="6" w:space="0" w:color="auto"/>
              <w:left w:val="single" w:sz="6" w:space="0" w:color="auto"/>
              <w:bottom w:val="single" w:sz="6" w:space="0" w:color="auto"/>
              <w:right w:val="single" w:sz="6" w:space="0" w:color="auto"/>
            </w:tcBorders>
            <w:shd w:val="clear" w:color="auto" w:fill="auto"/>
            <w:hideMark/>
          </w:tcPr>
          <w:p w14:paraId="5E763B06" w14:textId="77777777" w:rsidR="003D7C00" w:rsidRPr="00027F5F" w:rsidRDefault="003D7C00" w:rsidP="00F648F9">
            <w:pPr>
              <w:pStyle w:val="ListParagraph"/>
              <w:numPr>
                <w:ilvl w:val="0"/>
                <w:numId w:val="13"/>
              </w:numPr>
              <w:spacing w:after="0" w:line="240" w:lineRule="auto"/>
              <w:textAlignment w:val="baseline"/>
              <w:rPr>
                <w:rFonts w:eastAsia="Times New Roman" w:cs="Times New Roman"/>
                <w:szCs w:val="24"/>
              </w:rPr>
            </w:pPr>
            <w:r w:rsidRPr="00027F5F">
              <w:rPr>
                <w:rFonts w:eastAsia="Times New Roman" w:cs="Times New Roman"/>
                <w:szCs w:val="24"/>
              </w:rPr>
              <w:t>Quantities </w:t>
            </w:r>
          </w:p>
          <w:p w14:paraId="78C348F1" w14:textId="77777777" w:rsidR="003D7C00" w:rsidRPr="00027F5F" w:rsidRDefault="003D7C00" w:rsidP="00F648F9">
            <w:pPr>
              <w:pStyle w:val="ListParagraph"/>
              <w:numPr>
                <w:ilvl w:val="0"/>
                <w:numId w:val="13"/>
              </w:numPr>
              <w:spacing w:after="0" w:line="240" w:lineRule="auto"/>
              <w:textAlignment w:val="baseline"/>
              <w:rPr>
                <w:rFonts w:eastAsia="Times New Roman" w:cs="Times New Roman"/>
                <w:szCs w:val="24"/>
              </w:rPr>
            </w:pPr>
            <w:r w:rsidRPr="00027F5F">
              <w:rPr>
                <w:rFonts w:eastAsia="Times New Roman" w:cs="Times New Roman"/>
                <w:szCs w:val="24"/>
              </w:rPr>
              <w:t>Dates </w:t>
            </w:r>
          </w:p>
          <w:p w14:paraId="76D237BD" w14:textId="77777777" w:rsidR="003D7C00" w:rsidRPr="00027F5F" w:rsidRDefault="003D7C00" w:rsidP="00F648F9">
            <w:pPr>
              <w:pStyle w:val="ListParagraph"/>
              <w:numPr>
                <w:ilvl w:val="0"/>
                <w:numId w:val="13"/>
              </w:numPr>
              <w:spacing w:after="0" w:line="240" w:lineRule="auto"/>
              <w:textAlignment w:val="baseline"/>
              <w:rPr>
                <w:rFonts w:eastAsia="Times New Roman" w:cs="Times New Roman"/>
                <w:szCs w:val="24"/>
              </w:rPr>
            </w:pPr>
            <w:r w:rsidRPr="00027F5F">
              <w:rPr>
                <w:rFonts w:eastAsia="Times New Roman" w:cs="Times New Roman"/>
                <w:szCs w:val="24"/>
              </w:rPr>
              <w:t>Referring/delivering providers </w:t>
            </w:r>
          </w:p>
          <w:p w14:paraId="79B146F7" w14:textId="77777777" w:rsidR="003D7C00" w:rsidRPr="00027F5F" w:rsidRDefault="003D7C00" w:rsidP="00F648F9">
            <w:pPr>
              <w:pStyle w:val="ListParagraph"/>
              <w:numPr>
                <w:ilvl w:val="0"/>
                <w:numId w:val="13"/>
              </w:numPr>
              <w:spacing w:after="0" w:line="240" w:lineRule="auto"/>
              <w:textAlignment w:val="baseline"/>
              <w:rPr>
                <w:rFonts w:eastAsia="Times New Roman" w:cs="Times New Roman"/>
                <w:szCs w:val="24"/>
              </w:rPr>
            </w:pPr>
            <w:r w:rsidRPr="00027F5F">
              <w:rPr>
                <w:rFonts w:eastAsia="Times New Roman" w:cs="Times New Roman"/>
                <w:szCs w:val="24"/>
              </w:rPr>
              <w:t>CPT/Dx codes </w:t>
            </w:r>
          </w:p>
          <w:p w14:paraId="20FC74EF" w14:textId="2F337463" w:rsidR="003D7C00" w:rsidRPr="00027F5F" w:rsidRDefault="003D7C00" w:rsidP="003D7C00">
            <w:pPr>
              <w:spacing w:after="0" w:line="240" w:lineRule="auto"/>
              <w:ind w:firstLine="60"/>
              <w:textAlignment w:val="baseline"/>
              <w:rPr>
                <w:rFonts w:eastAsia="Times New Roman" w:cs="Times New Roman"/>
                <w:color w:val="2F5496"/>
                <w:szCs w:val="24"/>
              </w:rPr>
            </w:pPr>
          </w:p>
        </w:tc>
        <w:tc>
          <w:tcPr>
            <w:tcW w:w="7200" w:type="dxa"/>
            <w:tcBorders>
              <w:top w:val="single" w:sz="6" w:space="0" w:color="auto"/>
              <w:left w:val="single" w:sz="6" w:space="0" w:color="auto"/>
              <w:bottom w:val="single" w:sz="6" w:space="0" w:color="auto"/>
              <w:right w:val="single" w:sz="6" w:space="0" w:color="auto"/>
            </w:tcBorders>
            <w:shd w:val="clear" w:color="auto" w:fill="auto"/>
            <w:hideMark/>
          </w:tcPr>
          <w:p w14:paraId="101EAA67" w14:textId="42D4B1F5" w:rsidR="003D7C00" w:rsidRPr="00027F5F" w:rsidRDefault="003D7C00" w:rsidP="00F648F9">
            <w:pPr>
              <w:pStyle w:val="ListParagraph"/>
              <w:numPr>
                <w:ilvl w:val="0"/>
                <w:numId w:val="13"/>
              </w:numPr>
              <w:spacing w:after="0" w:line="240" w:lineRule="auto"/>
              <w:textAlignment w:val="baseline"/>
              <w:rPr>
                <w:rFonts w:eastAsia="Times New Roman" w:cs="Times New Roman"/>
                <w:szCs w:val="24"/>
              </w:rPr>
            </w:pPr>
            <w:r w:rsidRPr="00027F5F">
              <w:rPr>
                <w:rFonts w:eastAsia="Times New Roman" w:cs="Times New Roman"/>
                <w:szCs w:val="24"/>
              </w:rPr>
              <w:t xml:space="preserve">Start dates for retro office visit </w:t>
            </w:r>
            <w:r w:rsidR="00EE1766" w:rsidRPr="00027F5F">
              <w:rPr>
                <w:rFonts w:eastAsia="Times New Roman" w:cs="Times New Roman"/>
                <w:szCs w:val="24"/>
              </w:rPr>
              <w:t>requests​.</w:t>
            </w:r>
            <w:r w:rsidRPr="00027F5F">
              <w:rPr>
                <w:rFonts w:eastAsia="Times New Roman" w:cs="Times New Roman"/>
                <w:szCs w:val="24"/>
              </w:rPr>
              <w:t> </w:t>
            </w:r>
          </w:p>
          <w:p w14:paraId="037BE007" w14:textId="77777777" w:rsidR="003D7C00" w:rsidRPr="00027F5F" w:rsidRDefault="003D7C00" w:rsidP="00F648F9">
            <w:pPr>
              <w:pStyle w:val="ListParagraph"/>
              <w:numPr>
                <w:ilvl w:val="0"/>
                <w:numId w:val="13"/>
              </w:numPr>
              <w:spacing w:after="0" w:line="240" w:lineRule="auto"/>
              <w:textAlignment w:val="baseline"/>
              <w:rPr>
                <w:rFonts w:eastAsia="Times New Roman" w:cs="Times New Roman"/>
                <w:szCs w:val="24"/>
              </w:rPr>
            </w:pPr>
            <w:r w:rsidRPr="00027F5F">
              <w:rPr>
                <w:rFonts w:eastAsia="Times New Roman" w:cs="Times New Roman"/>
                <w:szCs w:val="24"/>
              </w:rPr>
              <w:t>Quantities for DME rentals​ </w:t>
            </w:r>
          </w:p>
          <w:p w14:paraId="424E1F45" w14:textId="571C2C8D" w:rsidR="003D7C00" w:rsidRPr="00027F5F" w:rsidRDefault="003D7C00" w:rsidP="00F648F9">
            <w:pPr>
              <w:pStyle w:val="ListParagraph"/>
              <w:numPr>
                <w:ilvl w:val="0"/>
                <w:numId w:val="13"/>
              </w:numPr>
              <w:spacing w:after="0" w:line="240" w:lineRule="auto"/>
              <w:textAlignment w:val="baseline"/>
              <w:rPr>
                <w:rFonts w:eastAsia="Times New Roman" w:cs="Times New Roman"/>
                <w:szCs w:val="24"/>
              </w:rPr>
            </w:pPr>
            <w:r w:rsidRPr="00027F5F">
              <w:rPr>
                <w:rFonts w:eastAsia="Times New Roman" w:cs="Times New Roman"/>
                <w:szCs w:val="24"/>
              </w:rPr>
              <w:t xml:space="preserve">Dates on DME rentals if request is for more months than </w:t>
            </w:r>
            <w:r w:rsidR="00EE1766" w:rsidRPr="00027F5F">
              <w:rPr>
                <w:rFonts w:eastAsia="Times New Roman" w:cs="Times New Roman"/>
                <w:szCs w:val="24"/>
              </w:rPr>
              <w:t>approved​.</w:t>
            </w:r>
            <w:r w:rsidRPr="00027F5F">
              <w:rPr>
                <w:rFonts w:eastAsia="Times New Roman" w:cs="Times New Roman"/>
                <w:szCs w:val="24"/>
              </w:rPr>
              <w:t> </w:t>
            </w:r>
          </w:p>
          <w:p w14:paraId="4A1272C8" w14:textId="77777777" w:rsidR="003D7C00" w:rsidRPr="00027F5F" w:rsidRDefault="003D7C00" w:rsidP="00F648F9">
            <w:pPr>
              <w:pStyle w:val="ListParagraph"/>
              <w:numPr>
                <w:ilvl w:val="0"/>
                <w:numId w:val="13"/>
              </w:numPr>
              <w:spacing w:after="0" w:line="240" w:lineRule="auto"/>
              <w:textAlignment w:val="baseline"/>
              <w:rPr>
                <w:rFonts w:eastAsia="Times New Roman" w:cs="Times New Roman"/>
                <w:szCs w:val="24"/>
              </w:rPr>
            </w:pPr>
            <w:r w:rsidRPr="00027F5F">
              <w:rPr>
                <w:rFonts w:eastAsia="Times New Roman" w:cs="Times New Roman"/>
                <w:szCs w:val="24"/>
              </w:rPr>
              <w:t>Adding additional quantities on office visits​ </w:t>
            </w:r>
          </w:p>
          <w:p w14:paraId="40CA3EE5" w14:textId="4CC170EF" w:rsidR="003D7C00" w:rsidRPr="00027F5F" w:rsidRDefault="003D7C00" w:rsidP="00F648F9">
            <w:pPr>
              <w:pStyle w:val="ListParagraph"/>
              <w:numPr>
                <w:ilvl w:val="0"/>
                <w:numId w:val="13"/>
              </w:numPr>
              <w:spacing w:after="0" w:line="240" w:lineRule="auto"/>
              <w:textAlignment w:val="baseline"/>
              <w:rPr>
                <w:rFonts w:eastAsia="Times New Roman" w:cs="Times New Roman"/>
                <w:szCs w:val="24"/>
              </w:rPr>
            </w:pPr>
            <w:r w:rsidRPr="00027F5F">
              <w:rPr>
                <w:rFonts w:eastAsia="Times New Roman" w:cs="Times New Roman"/>
                <w:szCs w:val="24"/>
              </w:rPr>
              <w:t xml:space="preserve">Extend the date on authorizations that have been expired over 30 </w:t>
            </w:r>
            <w:r w:rsidR="00EE1766" w:rsidRPr="00027F5F">
              <w:rPr>
                <w:rFonts w:eastAsia="Times New Roman" w:cs="Times New Roman"/>
                <w:szCs w:val="24"/>
              </w:rPr>
              <w:t>days​.</w:t>
            </w:r>
            <w:r w:rsidRPr="00027F5F">
              <w:rPr>
                <w:rFonts w:eastAsia="Times New Roman" w:cs="Times New Roman"/>
                <w:szCs w:val="24"/>
              </w:rPr>
              <w:t> </w:t>
            </w:r>
          </w:p>
          <w:p w14:paraId="29DBA1AC" w14:textId="563D133F" w:rsidR="003D7C00" w:rsidRPr="00027F5F" w:rsidRDefault="003D7C00" w:rsidP="00F648F9">
            <w:pPr>
              <w:pStyle w:val="ListParagraph"/>
              <w:numPr>
                <w:ilvl w:val="0"/>
                <w:numId w:val="13"/>
              </w:numPr>
              <w:spacing w:after="0" w:line="240" w:lineRule="auto"/>
              <w:textAlignment w:val="baseline"/>
              <w:rPr>
                <w:rFonts w:eastAsia="Times New Roman" w:cs="Times New Roman"/>
                <w:szCs w:val="24"/>
              </w:rPr>
            </w:pPr>
            <w:r w:rsidRPr="00027F5F">
              <w:rPr>
                <w:rFonts w:eastAsia="Times New Roman" w:cs="Times New Roman"/>
                <w:szCs w:val="24"/>
              </w:rPr>
              <w:t xml:space="preserve">Extend the date or amend to add codes for a procedure not completed yet if the member has </w:t>
            </w:r>
            <w:r w:rsidR="00EE1766" w:rsidRPr="00027F5F">
              <w:rPr>
                <w:rFonts w:eastAsia="Times New Roman" w:cs="Times New Roman"/>
                <w:szCs w:val="24"/>
              </w:rPr>
              <w:t>termed​.</w:t>
            </w:r>
            <w:r w:rsidRPr="00027F5F">
              <w:rPr>
                <w:rFonts w:eastAsia="Times New Roman" w:cs="Times New Roman"/>
                <w:szCs w:val="24"/>
              </w:rPr>
              <w:t> </w:t>
            </w:r>
          </w:p>
          <w:p w14:paraId="69D60C16" w14:textId="77777777" w:rsidR="003D7C00" w:rsidRPr="00027F5F" w:rsidRDefault="003D7C00" w:rsidP="00F648F9">
            <w:pPr>
              <w:pStyle w:val="ListParagraph"/>
              <w:numPr>
                <w:ilvl w:val="0"/>
                <w:numId w:val="13"/>
              </w:numPr>
              <w:spacing w:after="0" w:line="240" w:lineRule="auto"/>
              <w:textAlignment w:val="baseline"/>
              <w:rPr>
                <w:rFonts w:eastAsia="Times New Roman" w:cs="Times New Roman"/>
                <w:szCs w:val="24"/>
              </w:rPr>
            </w:pPr>
            <w:r w:rsidRPr="00027F5F">
              <w:rPr>
                <w:rFonts w:eastAsia="Times New Roman" w:cs="Times New Roman"/>
                <w:szCs w:val="24"/>
              </w:rPr>
              <w:t>Remove or change CPT codes or providers if a claim has been filed.​ </w:t>
            </w:r>
          </w:p>
        </w:tc>
      </w:tr>
    </w:tbl>
    <w:p w14:paraId="18E9E140" w14:textId="77777777" w:rsidR="003D7C00" w:rsidRPr="003D7C00" w:rsidRDefault="003D7C00" w:rsidP="003D7C00">
      <w:pPr>
        <w:pStyle w:val="NoSpacing"/>
        <w:rPr>
          <w:rFonts w:ascii="Times New Roman" w:hAnsi="Times New Roman" w:cs="Times New Roman"/>
          <w:bCs/>
          <w:sz w:val="24"/>
          <w:szCs w:val="24"/>
        </w:rPr>
      </w:pPr>
    </w:p>
    <w:p w14:paraId="2F1A78E0" w14:textId="77777777" w:rsidR="003D7C00" w:rsidRDefault="003D7C00" w:rsidP="00762767">
      <w:pPr>
        <w:pStyle w:val="NoSpacing"/>
        <w:rPr>
          <w:rFonts w:ascii="Arial" w:hAnsi="Arial" w:cs="Arial"/>
          <w:b/>
          <w:color w:val="006892"/>
          <w:sz w:val="24"/>
          <w:szCs w:val="24"/>
        </w:rPr>
      </w:pPr>
    </w:p>
    <w:p w14:paraId="0C6C165E" w14:textId="256BAEB7" w:rsidR="003C2DDA" w:rsidRPr="003C2DDA" w:rsidRDefault="003C2DDA" w:rsidP="00997FC0">
      <w:pPr>
        <w:pStyle w:val="Heading3"/>
        <w:rPr>
          <w:rFonts w:ascii="Arial" w:hAnsi="Arial" w:cs="Arial"/>
          <w:b/>
          <w:color w:val="006892"/>
        </w:rPr>
      </w:pPr>
      <w:r w:rsidRPr="003C2DDA">
        <w:rPr>
          <w:rFonts w:ascii="Arial" w:hAnsi="Arial" w:cs="Arial"/>
          <w:b/>
          <w:color w:val="006892"/>
        </w:rPr>
        <w:t>NOTIFICATION</w:t>
      </w:r>
      <w:r>
        <w:rPr>
          <w:rFonts w:ascii="Arial" w:hAnsi="Arial" w:cs="Arial"/>
          <w:b/>
          <w:color w:val="006892"/>
        </w:rPr>
        <w:t xml:space="preserve"> OF DETERMINATION</w:t>
      </w:r>
    </w:p>
    <w:p w14:paraId="207071C0" w14:textId="14E44860" w:rsidR="003C2DDA" w:rsidRDefault="003C2DDA" w:rsidP="003C2DDA">
      <w:r>
        <w:t xml:space="preserve">Once in a final status (Approved, Denied, Denied Partial, Withdrawn, Dismissed) the notification letter will be attached to the “Attached Documents” link in the top right corner. An email will be sent to the </w:t>
      </w:r>
      <w:r w:rsidR="00C947D1">
        <w:t>requesting provider</w:t>
      </w:r>
      <w:r>
        <w:t xml:space="preserve"> informing them of the outcome. If the request was submitted via fax, the provider will be faxed the determination letter. </w:t>
      </w:r>
    </w:p>
    <w:p w14:paraId="17180203" w14:textId="77777777" w:rsidR="003C2DDA" w:rsidRDefault="003C2DDA" w:rsidP="003C2DDA">
      <w:pPr>
        <w:pStyle w:val="NoSpacing"/>
        <w:rPr>
          <w:rFonts w:ascii="Arial" w:hAnsi="Arial" w:cs="Arial"/>
          <w:b/>
          <w:color w:val="006892"/>
          <w:sz w:val="24"/>
          <w:szCs w:val="24"/>
        </w:rPr>
      </w:pPr>
    </w:p>
    <w:p w14:paraId="2D0C777C" w14:textId="1F7643E9" w:rsidR="003C2DDA" w:rsidRDefault="003C2DDA" w:rsidP="00997FC0">
      <w:pPr>
        <w:pStyle w:val="Heading3"/>
        <w:rPr>
          <w:rFonts w:ascii="Arial" w:hAnsi="Arial" w:cs="Arial"/>
          <w:b/>
          <w:color w:val="006892"/>
        </w:rPr>
      </w:pPr>
      <w:r>
        <w:rPr>
          <w:rFonts w:ascii="Arial" w:hAnsi="Arial" w:cs="Arial"/>
          <w:b/>
          <w:color w:val="006892"/>
        </w:rPr>
        <w:t>DENIED REQUESTS</w:t>
      </w:r>
    </w:p>
    <w:p w14:paraId="78A3FCE3" w14:textId="66CEB2CB" w:rsidR="003C2DDA" w:rsidRDefault="003C2DDA" w:rsidP="003C2DD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decisions </w:t>
      </w:r>
      <w:r w:rsidRPr="005764E3">
        <w:rPr>
          <w:rFonts w:ascii="Times New Roman" w:eastAsia="Times New Roman" w:hAnsi="Times New Roman" w:cs="Times New Roman"/>
          <w:sz w:val="24"/>
          <w:szCs w:val="24"/>
        </w:rPr>
        <w:t xml:space="preserve">to deny, reduce, or authorize a service in an amount, duration, or scope less than what was requested are made by </w:t>
      </w:r>
      <w:r>
        <w:rPr>
          <w:rFonts w:ascii="Times New Roman" w:eastAsia="Times New Roman" w:hAnsi="Times New Roman" w:cs="Times New Roman"/>
          <w:sz w:val="24"/>
          <w:szCs w:val="24"/>
        </w:rPr>
        <w:t>a medical or pharmacy director. UHA does not incentivize providers, employees, or other utilization reviewers to inappropriately deny, limit, or discontinue medically appropriate services to any member.</w:t>
      </w:r>
      <w:r w:rsidRPr="00800B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w:t>
      </w:r>
      <w:r w:rsidRPr="00B64473">
        <w:rPr>
          <w:rFonts w:ascii="Times New Roman" w:eastAsia="Times New Roman" w:hAnsi="Times New Roman" w:cs="Times New Roman"/>
          <w:b/>
          <w:bCs/>
          <w:sz w:val="24"/>
          <w:szCs w:val="24"/>
        </w:rPr>
        <w:t>adverse benefit determinations</w:t>
      </w:r>
      <w:r>
        <w:rPr>
          <w:rFonts w:ascii="Times New Roman" w:eastAsia="Times New Roman" w:hAnsi="Times New Roman" w:cs="Times New Roman"/>
          <w:sz w:val="24"/>
          <w:szCs w:val="24"/>
        </w:rPr>
        <w:t xml:space="preserve"> </w:t>
      </w:r>
      <w:r w:rsidRPr="00800BE0">
        <w:rPr>
          <w:rFonts w:ascii="Times New Roman" w:eastAsia="Times New Roman" w:hAnsi="Times New Roman" w:cs="Times New Roman"/>
          <w:sz w:val="24"/>
          <w:szCs w:val="24"/>
        </w:rPr>
        <w:t>will not be arbitrarily made solely because of diagnosis, type of illness, or condition of the member</w:t>
      </w:r>
      <w:r>
        <w:rPr>
          <w:rFonts w:ascii="Times New Roman" w:eastAsia="Times New Roman" w:hAnsi="Times New Roman" w:cs="Times New Roman"/>
          <w:sz w:val="24"/>
          <w:szCs w:val="24"/>
        </w:rPr>
        <w:t xml:space="preserve">, subject to the Prioritized List of Health Services. </w:t>
      </w:r>
    </w:p>
    <w:p w14:paraId="6B43B4A6" w14:textId="77777777" w:rsidR="003C2DDA" w:rsidRDefault="003C2DDA" w:rsidP="003C2DDA">
      <w:pPr>
        <w:pStyle w:val="NoSpacing"/>
        <w:rPr>
          <w:rFonts w:ascii="Times New Roman" w:eastAsia="Times New Roman" w:hAnsi="Times New Roman" w:cs="Times New Roman"/>
          <w:sz w:val="24"/>
          <w:szCs w:val="24"/>
        </w:rPr>
      </w:pPr>
    </w:p>
    <w:p w14:paraId="462991A4" w14:textId="77777777" w:rsidR="003C2DDA" w:rsidRPr="006960B8" w:rsidRDefault="003C2DDA" w:rsidP="003C2DDA">
      <w:pPr>
        <w:pStyle w:val="NoSpacing"/>
        <w:rPr>
          <w:rFonts w:ascii="Times New Roman" w:eastAsia="Times New Roman" w:hAnsi="Times New Roman" w:cs="Times New Roman"/>
          <w:sz w:val="24"/>
          <w:szCs w:val="24"/>
        </w:rPr>
      </w:pPr>
      <w:r w:rsidRPr="00553193">
        <w:rPr>
          <w:rFonts w:ascii="Times New Roman" w:eastAsia="Times New Roman" w:hAnsi="Times New Roman" w:cs="Times New Roman"/>
          <w:sz w:val="24"/>
          <w:szCs w:val="24"/>
        </w:rPr>
        <w:t>Before denying any member treatment for a condition that is below the funding line on the</w:t>
      </w:r>
      <w:r>
        <w:rPr>
          <w:rFonts w:ascii="Times New Roman" w:eastAsia="Times New Roman" w:hAnsi="Times New Roman" w:cs="Times New Roman"/>
          <w:sz w:val="24"/>
          <w:szCs w:val="24"/>
        </w:rPr>
        <w:t xml:space="preserve"> </w:t>
      </w:r>
      <w:r w:rsidRPr="006960B8">
        <w:rPr>
          <w:rFonts w:ascii="Times New Roman" w:eastAsia="Times New Roman" w:hAnsi="Times New Roman" w:cs="Times New Roman"/>
          <w:sz w:val="24"/>
          <w:szCs w:val="24"/>
        </w:rPr>
        <w:t>Prioritized List of Health Services for any member, including without limitation, disabilities, or co-morbid conditions, UHA shall determine whether the m</w:t>
      </w:r>
      <w:r w:rsidRPr="004C39EA">
        <w:rPr>
          <w:rFonts w:ascii="Times New Roman" w:eastAsia="Times New Roman" w:hAnsi="Times New Roman" w:cs="Times New Roman"/>
          <w:sz w:val="24"/>
          <w:szCs w:val="24"/>
        </w:rPr>
        <w:t>ember has a funded condition/treatment pair that would entitle the Member to treatment under OAR 410-141-3820</w:t>
      </w:r>
      <w:r>
        <w:rPr>
          <w:rFonts w:ascii="Times New Roman" w:eastAsia="Times New Roman" w:hAnsi="Times New Roman" w:cs="Times New Roman"/>
          <w:sz w:val="24"/>
          <w:szCs w:val="24"/>
        </w:rPr>
        <w:t>.</w:t>
      </w:r>
    </w:p>
    <w:p w14:paraId="43C5201D" w14:textId="77777777" w:rsidR="003C2DDA" w:rsidRDefault="003C2DDA" w:rsidP="003C2DDA">
      <w:pPr>
        <w:pStyle w:val="NoSpacing"/>
        <w:rPr>
          <w:rFonts w:ascii="Times New Roman" w:eastAsia="Times New Roman" w:hAnsi="Times New Roman" w:cs="Times New Roman"/>
          <w:sz w:val="24"/>
          <w:szCs w:val="24"/>
        </w:rPr>
      </w:pPr>
    </w:p>
    <w:p w14:paraId="7C6DC2B6" w14:textId="1845A7F2" w:rsidR="003C2DDA" w:rsidRDefault="003C2DDA" w:rsidP="003C2DD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UHA will not apply more stringent utilization or prior authorization standards to out-of-network services, than standards that are applied to medical/surgical benefits. UHA may deny authorization requests for the following reasons. In each case, the member will receive a written denial notice that informs them of the reason for the denial and their appeal rights:</w:t>
      </w:r>
    </w:p>
    <w:p w14:paraId="19D3B994" w14:textId="77777777" w:rsidR="003C2DDA" w:rsidRPr="00F27805" w:rsidRDefault="003C2DDA" w:rsidP="00F648F9">
      <w:pPr>
        <w:pStyle w:val="BodyText"/>
        <w:numPr>
          <w:ilvl w:val="1"/>
          <w:numId w:val="9"/>
        </w:numPr>
        <w:autoSpaceDE/>
        <w:autoSpaceDN/>
        <w:ind w:right="112"/>
        <w:rPr>
          <w:color w:val="181818"/>
          <w:szCs w:val="24"/>
        </w:rPr>
      </w:pPr>
      <w:r w:rsidRPr="00F27805">
        <w:rPr>
          <w:color w:val="181818"/>
          <w:szCs w:val="24"/>
        </w:rPr>
        <w:t>The denial or limited authorization of a requested service, including determinations based on the type or level of service, requirements for medical necessity, appropriateness, setting, or effectiveness of a covered benefit.</w:t>
      </w:r>
    </w:p>
    <w:p w14:paraId="6A83272C" w14:textId="77777777" w:rsidR="003C2DDA" w:rsidRPr="00F27805" w:rsidRDefault="003C2DDA" w:rsidP="00F648F9">
      <w:pPr>
        <w:pStyle w:val="BodyText"/>
        <w:numPr>
          <w:ilvl w:val="1"/>
          <w:numId w:val="9"/>
        </w:numPr>
        <w:autoSpaceDE/>
        <w:autoSpaceDN/>
        <w:ind w:right="112"/>
        <w:rPr>
          <w:color w:val="181818"/>
          <w:szCs w:val="24"/>
        </w:rPr>
      </w:pPr>
      <w:r w:rsidRPr="00F27805">
        <w:rPr>
          <w:color w:val="181818"/>
          <w:szCs w:val="24"/>
        </w:rPr>
        <w:t>The reduction, suspension, or termination of a previously authorized service.</w:t>
      </w:r>
    </w:p>
    <w:p w14:paraId="4482BCF8" w14:textId="77777777" w:rsidR="003C2DDA" w:rsidRPr="00F27805" w:rsidRDefault="003C2DDA" w:rsidP="00F648F9">
      <w:pPr>
        <w:pStyle w:val="BodyText"/>
        <w:numPr>
          <w:ilvl w:val="1"/>
          <w:numId w:val="9"/>
        </w:numPr>
        <w:autoSpaceDE/>
        <w:autoSpaceDN/>
        <w:ind w:right="112"/>
        <w:rPr>
          <w:color w:val="181818"/>
          <w:szCs w:val="24"/>
        </w:rPr>
      </w:pPr>
      <w:r w:rsidRPr="00F27805">
        <w:rPr>
          <w:color w:val="181818"/>
          <w:szCs w:val="24"/>
        </w:rPr>
        <w:t>The denial, in whole or in part, of payment for a service. This excludes any claim that is not a clean claim. Clean claim means one that can be processed without obtaining additional information from the provider of the service or from a third party. It includes a claim with errors originating in a State's claims system. It does not include a claim from a provider who is under investigation for fraud or abuse, or a claim under review for medical necessity.</w:t>
      </w:r>
    </w:p>
    <w:p w14:paraId="669844D7" w14:textId="77777777" w:rsidR="003C2DDA" w:rsidRPr="00F27805" w:rsidRDefault="003C2DDA" w:rsidP="00F648F9">
      <w:pPr>
        <w:pStyle w:val="BodyText"/>
        <w:numPr>
          <w:ilvl w:val="1"/>
          <w:numId w:val="9"/>
        </w:numPr>
        <w:autoSpaceDE/>
        <w:autoSpaceDN/>
        <w:ind w:right="112"/>
        <w:rPr>
          <w:color w:val="181818"/>
          <w:szCs w:val="24"/>
        </w:rPr>
      </w:pPr>
      <w:r w:rsidRPr="00F27805">
        <w:rPr>
          <w:color w:val="181818"/>
          <w:szCs w:val="24"/>
        </w:rPr>
        <w:t>The failure to provide services in a timely manner, as defined by the State.</w:t>
      </w:r>
    </w:p>
    <w:p w14:paraId="7A95E8A2" w14:textId="77777777" w:rsidR="003C2DDA" w:rsidRPr="00F27805" w:rsidRDefault="003C2DDA" w:rsidP="00F648F9">
      <w:pPr>
        <w:pStyle w:val="BodyText"/>
        <w:numPr>
          <w:ilvl w:val="1"/>
          <w:numId w:val="9"/>
        </w:numPr>
        <w:autoSpaceDE/>
        <w:autoSpaceDN/>
        <w:ind w:right="112"/>
        <w:rPr>
          <w:color w:val="181818"/>
          <w:szCs w:val="24"/>
        </w:rPr>
      </w:pPr>
      <w:r w:rsidRPr="00F27805">
        <w:rPr>
          <w:color w:val="181818"/>
          <w:szCs w:val="24"/>
        </w:rPr>
        <w:t>The failure of UHA to act within the timeframes provided in § 438.408(b)(1) and (2) regarding the standard resolution of grievances and appeals.</w:t>
      </w:r>
    </w:p>
    <w:p w14:paraId="640A8AB5" w14:textId="77777777" w:rsidR="003C2DDA" w:rsidRPr="00F27805" w:rsidRDefault="003C2DDA" w:rsidP="00F648F9">
      <w:pPr>
        <w:pStyle w:val="BodyText"/>
        <w:numPr>
          <w:ilvl w:val="1"/>
          <w:numId w:val="9"/>
        </w:numPr>
        <w:autoSpaceDE/>
        <w:autoSpaceDN/>
        <w:ind w:right="112"/>
        <w:rPr>
          <w:color w:val="181818"/>
          <w:szCs w:val="24"/>
        </w:rPr>
      </w:pPr>
      <w:r w:rsidRPr="00F27805">
        <w:rPr>
          <w:color w:val="181818"/>
          <w:szCs w:val="24"/>
        </w:rPr>
        <w:t>For a resident of a rural area with only one managed care organization, the denial of a member’s request to exercise his or her right, under § 438.52(b)(2)(ii), to obtain services outside the network.</w:t>
      </w:r>
    </w:p>
    <w:p w14:paraId="03782556" w14:textId="77777777" w:rsidR="003C2DDA" w:rsidRPr="00F27805" w:rsidRDefault="003C2DDA" w:rsidP="00F648F9">
      <w:pPr>
        <w:pStyle w:val="BodyText"/>
        <w:numPr>
          <w:ilvl w:val="1"/>
          <w:numId w:val="9"/>
        </w:numPr>
        <w:autoSpaceDE/>
        <w:autoSpaceDN/>
        <w:ind w:right="112"/>
        <w:rPr>
          <w:szCs w:val="24"/>
        </w:rPr>
      </w:pPr>
      <w:r w:rsidRPr="00F27805">
        <w:rPr>
          <w:color w:val="181818"/>
          <w:szCs w:val="24"/>
        </w:rPr>
        <w:lastRenderedPageBreak/>
        <w:t>The denial of a member’s request to dispute a financial liability, including cost sharing, copayments, premiums, deductibles, coinsurance, and other member financial liabilities.</w:t>
      </w:r>
    </w:p>
    <w:p w14:paraId="4300631F" w14:textId="77777777" w:rsidR="003517F9" w:rsidRDefault="003517F9" w:rsidP="00FD730E">
      <w:pPr>
        <w:spacing w:after="0"/>
      </w:pPr>
    </w:p>
    <w:p w14:paraId="7A8B4121" w14:textId="376BF0C4" w:rsidR="00FD730E" w:rsidRDefault="00FD730E" w:rsidP="00FD730E">
      <w:pPr>
        <w:spacing w:after="0"/>
      </w:pPr>
      <w:r>
        <w:t>UHA may place appropriate limits on services</w:t>
      </w:r>
      <w:r w:rsidR="00FA55D3">
        <w:t xml:space="preserve"> for the following: </w:t>
      </w:r>
    </w:p>
    <w:p w14:paraId="4B4E99D4" w14:textId="55EE762E" w:rsidR="00FD730E" w:rsidRDefault="00FD730E" w:rsidP="00F648F9">
      <w:pPr>
        <w:pStyle w:val="ListParagraph"/>
        <w:numPr>
          <w:ilvl w:val="0"/>
          <w:numId w:val="14"/>
        </w:numPr>
        <w:spacing w:after="0"/>
      </w:pPr>
      <w:r>
        <w:t>On the basis of criteria applied under the State plan (such as medical necessity).</w:t>
      </w:r>
    </w:p>
    <w:p w14:paraId="21704A2F" w14:textId="45D3A7DE" w:rsidR="00FD730E" w:rsidRDefault="00FD730E" w:rsidP="00F648F9">
      <w:pPr>
        <w:pStyle w:val="ListParagraph"/>
        <w:numPr>
          <w:ilvl w:val="0"/>
          <w:numId w:val="14"/>
        </w:numPr>
        <w:spacing w:after="0"/>
      </w:pPr>
      <w:r>
        <w:t>For the purpose of utilization control, provided that:</w:t>
      </w:r>
    </w:p>
    <w:p w14:paraId="6BDAC3B0" w14:textId="78CBD146" w:rsidR="00FD730E" w:rsidRDefault="00FD730E" w:rsidP="00F648F9">
      <w:pPr>
        <w:pStyle w:val="ListParagraph"/>
        <w:numPr>
          <w:ilvl w:val="2"/>
          <w:numId w:val="14"/>
        </w:numPr>
        <w:spacing w:after="0"/>
      </w:pPr>
      <w:r>
        <w:t>The services furnished can reasonably achieve their purpose.</w:t>
      </w:r>
    </w:p>
    <w:p w14:paraId="1166898B" w14:textId="77777777" w:rsidR="00FA55D3" w:rsidRDefault="00FD730E" w:rsidP="00F648F9">
      <w:pPr>
        <w:pStyle w:val="ListParagraph"/>
        <w:numPr>
          <w:ilvl w:val="2"/>
          <w:numId w:val="14"/>
        </w:numPr>
        <w:spacing w:after="0"/>
      </w:pPr>
      <w:r>
        <w:t>The services supporting individuals with ongoing or chronic conditions or who require long-term services and supports are authorized in a manner that reflects the member’s ongoing need for such services and supports.</w:t>
      </w:r>
    </w:p>
    <w:p w14:paraId="60C0E900" w14:textId="559006ED" w:rsidR="00FD730E" w:rsidRDefault="00FD730E" w:rsidP="00F648F9">
      <w:pPr>
        <w:pStyle w:val="ListParagraph"/>
        <w:numPr>
          <w:ilvl w:val="2"/>
          <w:numId w:val="14"/>
        </w:numPr>
        <w:spacing w:after="0"/>
      </w:pPr>
      <w:r>
        <w:t>Family planning services are provided in a manner that enables the member to choose the method of family planning.</w:t>
      </w:r>
    </w:p>
    <w:p w14:paraId="708FBF76" w14:textId="77777777" w:rsidR="009B7B54" w:rsidRDefault="009B7B54" w:rsidP="009B7B54"/>
    <w:p w14:paraId="23492A9F" w14:textId="7BCB201B" w:rsidR="009B7B54" w:rsidRPr="009B7B54" w:rsidRDefault="009B7B54" w:rsidP="009B7B54">
      <w:pPr>
        <w:spacing w:after="0"/>
      </w:pPr>
      <w:r w:rsidRPr="009B7B54">
        <w:t xml:space="preserve">If </w:t>
      </w:r>
      <w:r>
        <w:t>UHA is going to</w:t>
      </w:r>
      <w:r w:rsidRPr="009B7B54">
        <w:t xml:space="preserve"> reduce, suspend, or terminate a previously authorized Medicaid-covered service, </w:t>
      </w:r>
      <w:r w:rsidR="00093817">
        <w:t>a</w:t>
      </w:r>
      <w:r w:rsidRPr="009B7B54">
        <w:t>dvance notice</w:t>
      </w:r>
      <w:r w:rsidR="00093817">
        <w:t xml:space="preserve"> will be given </w:t>
      </w:r>
      <w:r w:rsidRPr="009B7B54">
        <w:t>(notice of adverse benefit determination) at least ten (10) days before the proposed effective date except when:</w:t>
      </w:r>
    </w:p>
    <w:p w14:paraId="4C96F31F" w14:textId="77777777" w:rsidR="00093817" w:rsidRDefault="009B7B54" w:rsidP="00F648F9">
      <w:pPr>
        <w:pStyle w:val="ListParagraph"/>
        <w:numPr>
          <w:ilvl w:val="0"/>
          <w:numId w:val="17"/>
        </w:numPr>
        <w:spacing w:after="0"/>
      </w:pPr>
      <w:r w:rsidRPr="009B7B54">
        <w:t>The CCO gives notice on or before the date of action if:</w:t>
      </w:r>
    </w:p>
    <w:p w14:paraId="7263E710" w14:textId="77777777" w:rsidR="00093817" w:rsidRDefault="009B7B54" w:rsidP="00F648F9">
      <w:pPr>
        <w:pStyle w:val="ListParagraph"/>
        <w:numPr>
          <w:ilvl w:val="1"/>
          <w:numId w:val="17"/>
        </w:numPr>
        <w:spacing w:after="0"/>
      </w:pPr>
      <w:r w:rsidRPr="009B7B54">
        <w:t>The agency has factual information confirming the death of a member.</w:t>
      </w:r>
    </w:p>
    <w:p w14:paraId="4183D7E6" w14:textId="1F7F5170" w:rsidR="009B7B54" w:rsidRPr="009B7B54" w:rsidRDefault="009B7B54" w:rsidP="00F648F9">
      <w:pPr>
        <w:pStyle w:val="ListParagraph"/>
        <w:numPr>
          <w:ilvl w:val="1"/>
          <w:numId w:val="17"/>
        </w:numPr>
        <w:spacing w:after="0"/>
      </w:pPr>
      <w:r w:rsidRPr="009B7B54">
        <w:t>The agency receives a clear written statement signed by the member that he/she no longer wishes services or gives information that requires termination or reduction of services and indicates that he/she understands that this must be the result of supplying that information.</w:t>
      </w:r>
    </w:p>
    <w:p w14:paraId="79FE6D71" w14:textId="3B984BEC" w:rsidR="009B7B54" w:rsidRPr="009B7B54" w:rsidRDefault="00D70785" w:rsidP="00F648F9">
      <w:pPr>
        <w:pStyle w:val="ListParagraph"/>
        <w:numPr>
          <w:ilvl w:val="1"/>
          <w:numId w:val="17"/>
        </w:numPr>
        <w:spacing w:after="0"/>
      </w:pPr>
      <w:r>
        <w:t>The</w:t>
      </w:r>
      <w:r w:rsidR="009B7B54" w:rsidRPr="009B7B54">
        <w:t xml:space="preserve"> member has been admitted to an institution where he/she is ineligible under the plan for further services.</w:t>
      </w:r>
    </w:p>
    <w:p w14:paraId="30B96E8E" w14:textId="00D2554F" w:rsidR="009B7B54" w:rsidRPr="009B7B54" w:rsidRDefault="009B7B54" w:rsidP="00F648F9">
      <w:pPr>
        <w:pStyle w:val="ListParagraph"/>
        <w:numPr>
          <w:ilvl w:val="1"/>
          <w:numId w:val="17"/>
        </w:numPr>
        <w:spacing w:after="0"/>
      </w:pPr>
      <w:r w:rsidRPr="009B7B54">
        <w:t>The member’s whereabouts are unknown, and the post office returns agency mail directed to him/her indicating no forwarding address.</w:t>
      </w:r>
    </w:p>
    <w:p w14:paraId="54D303A5" w14:textId="55783D3E" w:rsidR="009B7B54" w:rsidRPr="009B7B54" w:rsidRDefault="009B7B54" w:rsidP="00F648F9">
      <w:pPr>
        <w:pStyle w:val="ListParagraph"/>
        <w:numPr>
          <w:ilvl w:val="1"/>
          <w:numId w:val="17"/>
        </w:numPr>
        <w:spacing w:after="0"/>
      </w:pPr>
      <w:r w:rsidRPr="009B7B54">
        <w:t>The agency establishes the fact that the member has been accepted for Medicaid services by another local jurisdiction, State, territory, or commonwealth.</w:t>
      </w:r>
    </w:p>
    <w:p w14:paraId="3E3FA469" w14:textId="64456673" w:rsidR="009B7B54" w:rsidRPr="009B7B54" w:rsidRDefault="009B7B54" w:rsidP="00F648F9">
      <w:pPr>
        <w:pStyle w:val="ListParagraph"/>
        <w:numPr>
          <w:ilvl w:val="1"/>
          <w:numId w:val="17"/>
        </w:numPr>
        <w:spacing w:after="0"/>
      </w:pPr>
      <w:r w:rsidRPr="009B7B54">
        <w:t>A change in the level of medical care is prescribed by the member’s physician.</w:t>
      </w:r>
    </w:p>
    <w:p w14:paraId="2A933753" w14:textId="0080B250" w:rsidR="009B7B54" w:rsidRPr="009B7B54" w:rsidRDefault="009B7B54" w:rsidP="00F648F9">
      <w:pPr>
        <w:pStyle w:val="ListParagraph"/>
        <w:numPr>
          <w:ilvl w:val="1"/>
          <w:numId w:val="17"/>
        </w:numPr>
        <w:spacing w:after="0"/>
      </w:pPr>
      <w:r w:rsidRPr="009B7B54">
        <w:t>The notice involves an adverse determination made with regard to the preadmission screening requirements.</w:t>
      </w:r>
    </w:p>
    <w:p w14:paraId="7AF64F49" w14:textId="0CF650AD" w:rsidR="003A71B7" w:rsidRDefault="009B7B54" w:rsidP="00F648F9">
      <w:pPr>
        <w:pStyle w:val="ListParagraph"/>
        <w:numPr>
          <w:ilvl w:val="0"/>
          <w:numId w:val="17"/>
        </w:numPr>
      </w:pPr>
      <w:r w:rsidRPr="009B7B54">
        <w:t>If probable member fraud has been verified, the CCO gives notice five (5) calendar days before the date of action.</w:t>
      </w:r>
    </w:p>
    <w:p w14:paraId="3964587D" w14:textId="09DE1C04" w:rsidR="00240169" w:rsidRPr="00240169" w:rsidRDefault="00240169" w:rsidP="00997FC0">
      <w:pPr>
        <w:pStyle w:val="Heading3"/>
        <w:rPr>
          <w:rFonts w:ascii="Arial" w:hAnsi="Arial" w:cs="Arial"/>
          <w:b/>
          <w:color w:val="006892"/>
        </w:rPr>
      </w:pPr>
      <w:r w:rsidRPr="00240169">
        <w:rPr>
          <w:rFonts w:ascii="Arial" w:hAnsi="Arial" w:cs="Arial"/>
          <w:b/>
          <w:color w:val="006892"/>
        </w:rPr>
        <w:t>NOTICE OF ADVERSE BENEFIT DETERMINATIONS</w:t>
      </w:r>
      <w:r>
        <w:rPr>
          <w:rFonts w:ascii="Arial" w:hAnsi="Arial" w:cs="Arial"/>
          <w:b/>
          <w:color w:val="006892"/>
        </w:rPr>
        <w:t xml:space="preserve"> (DENIAL NOTICE)</w:t>
      </w:r>
      <w:r w:rsidRPr="00240169">
        <w:rPr>
          <w:rFonts w:ascii="Arial" w:hAnsi="Arial" w:cs="Arial"/>
          <w:b/>
          <w:color w:val="006892"/>
        </w:rPr>
        <w:t xml:space="preserve"> </w:t>
      </w:r>
    </w:p>
    <w:p w14:paraId="081CF5B1" w14:textId="54BC7370" w:rsidR="009C6187" w:rsidRDefault="00240169" w:rsidP="00240169">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written notice will be sent to the member for</w:t>
      </w:r>
      <w:r w:rsidR="00DA02C7">
        <w:rPr>
          <w:rFonts w:ascii="Times New Roman" w:eastAsia="Times New Roman" w:hAnsi="Times New Roman" w:cs="Times New Roman"/>
          <w:sz w:val="24"/>
          <w:szCs w:val="24"/>
        </w:rPr>
        <w:t xml:space="preserve"> all services that have been </w:t>
      </w:r>
      <w:r w:rsidR="00DA02C7" w:rsidRPr="005764E3">
        <w:rPr>
          <w:rFonts w:ascii="Times New Roman" w:eastAsia="Times New Roman" w:hAnsi="Times New Roman" w:cs="Times New Roman"/>
          <w:sz w:val="24"/>
          <w:szCs w:val="24"/>
        </w:rPr>
        <w:t>den</w:t>
      </w:r>
      <w:r w:rsidR="00DA02C7">
        <w:rPr>
          <w:rFonts w:ascii="Times New Roman" w:eastAsia="Times New Roman" w:hAnsi="Times New Roman" w:cs="Times New Roman"/>
          <w:sz w:val="24"/>
          <w:szCs w:val="24"/>
        </w:rPr>
        <w:t>ied</w:t>
      </w:r>
      <w:r w:rsidR="00DA02C7" w:rsidRPr="005764E3">
        <w:rPr>
          <w:rFonts w:ascii="Times New Roman" w:eastAsia="Times New Roman" w:hAnsi="Times New Roman" w:cs="Times New Roman"/>
          <w:sz w:val="24"/>
          <w:szCs w:val="24"/>
        </w:rPr>
        <w:t>, reduce</w:t>
      </w:r>
      <w:r w:rsidR="00DA02C7">
        <w:rPr>
          <w:rFonts w:ascii="Times New Roman" w:eastAsia="Times New Roman" w:hAnsi="Times New Roman" w:cs="Times New Roman"/>
          <w:sz w:val="24"/>
          <w:szCs w:val="24"/>
        </w:rPr>
        <w:t>d</w:t>
      </w:r>
      <w:r w:rsidR="00DA02C7" w:rsidRPr="005764E3">
        <w:rPr>
          <w:rFonts w:ascii="Times New Roman" w:eastAsia="Times New Roman" w:hAnsi="Times New Roman" w:cs="Times New Roman"/>
          <w:sz w:val="24"/>
          <w:szCs w:val="24"/>
        </w:rPr>
        <w:t xml:space="preserve">, </w:t>
      </w:r>
      <w:r w:rsidR="00D85DC2">
        <w:rPr>
          <w:rFonts w:ascii="Times New Roman" w:eastAsia="Times New Roman" w:hAnsi="Times New Roman" w:cs="Times New Roman"/>
          <w:sz w:val="24"/>
          <w:szCs w:val="24"/>
        </w:rPr>
        <w:t xml:space="preserve">terminated, </w:t>
      </w:r>
      <w:r w:rsidR="00EE1766">
        <w:rPr>
          <w:rFonts w:ascii="Times New Roman" w:eastAsia="Times New Roman" w:hAnsi="Times New Roman" w:cs="Times New Roman"/>
          <w:sz w:val="24"/>
          <w:szCs w:val="24"/>
        </w:rPr>
        <w:t>limited,</w:t>
      </w:r>
      <w:r w:rsidR="00D85DC2">
        <w:rPr>
          <w:rFonts w:ascii="Times New Roman" w:eastAsia="Times New Roman" w:hAnsi="Times New Roman" w:cs="Times New Roman"/>
          <w:sz w:val="24"/>
          <w:szCs w:val="24"/>
        </w:rPr>
        <w:t xml:space="preserve"> </w:t>
      </w:r>
      <w:r w:rsidR="00DA02C7" w:rsidRPr="005764E3">
        <w:rPr>
          <w:rFonts w:ascii="Times New Roman" w:eastAsia="Times New Roman" w:hAnsi="Times New Roman" w:cs="Times New Roman"/>
          <w:sz w:val="24"/>
          <w:szCs w:val="24"/>
        </w:rPr>
        <w:t>or authorize a service in an amount, duration, or scope less than what was requested</w:t>
      </w:r>
      <w:r w:rsidR="00D85DC2">
        <w:rPr>
          <w:rFonts w:ascii="Times New Roman" w:eastAsia="Times New Roman" w:hAnsi="Times New Roman" w:cs="Times New Roman"/>
          <w:sz w:val="24"/>
          <w:szCs w:val="24"/>
        </w:rPr>
        <w:t xml:space="preserve">. </w:t>
      </w:r>
      <w:r w:rsidR="002C6140">
        <w:rPr>
          <w:rFonts w:ascii="Times New Roman" w:eastAsia="Times New Roman" w:hAnsi="Times New Roman" w:cs="Times New Roman"/>
          <w:sz w:val="24"/>
          <w:szCs w:val="24"/>
        </w:rPr>
        <w:t>The notice</w:t>
      </w:r>
      <w:r w:rsidR="008924C8">
        <w:rPr>
          <w:rFonts w:ascii="Times New Roman" w:eastAsia="Times New Roman" w:hAnsi="Times New Roman" w:cs="Times New Roman"/>
          <w:sz w:val="24"/>
          <w:szCs w:val="24"/>
        </w:rPr>
        <w:t xml:space="preserve"> will meet the language and format requirements of </w:t>
      </w:r>
      <w:r w:rsidR="008924C8" w:rsidRPr="008924C8">
        <w:rPr>
          <w:rFonts w:ascii="Times New Roman" w:eastAsia="Times New Roman" w:hAnsi="Times New Roman" w:cs="Times New Roman"/>
          <w:sz w:val="24"/>
          <w:szCs w:val="24"/>
        </w:rPr>
        <w:t>42 CFR §438.10(c).</w:t>
      </w:r>
      <w:r w:rsidR="00DA02C7" w:rsidRPr="005764E3">
        <w:rPr>
          <w:rFonts w:ascii="Times New Roman" w:eastAsia="Times New Roman" w:hAnsi="Times New Roman" w:cs="Times New Roman"/>
          <w:sz w:val="24"/>
          <w:szCs w:val="24"/>
        </w:rPr>
        <w:t xml:space="preserve"> </w:t>
      </w:r>
      <w:r w:rsidR="00D85DC2">
        <w:rPr>
          <w:rFonts w:ascii="Times New Roman" w:eastAsia="Times New Roman" w:hAnsi="Times New Roman" w:cs="Times New Roman"/>
          <w:sz w:val="24"/>
          <w:szCs w:val="24"/>
        </w:rPr>
        <w:t>T</w:t>
      </w:r>
      <w:r w:rsidR="00A311BB">
        <w:rPr>
          <w:rFonts w:ascii="Times New Roman" w:eastAsia="Times New Roman" w:hAnsi="Times New Roman" w:cs="Times New Roman"/>
          <w:sz w:val="24"/>
          <w:szCs w:val="24"/>
        </w:rPr>
        <w:t xml:space="preserve">his notice will be attached to the request as noted above, and the letter will be mailed to the member along with information on how to </w:t>
      </w:r>
      <w:r w:rsidR="00A311BB">
        <w:rPr>
          <w:rFonts w:ascii="Times New Roman" w:eastAsia="Times New Roman" w:hAnsi="Times New Roman" w:cs="Times New Roman"/>
          <w:sz w:val="24"/>
          <w:szCs w:val="24"/>
        </w:rPr>
        <w:lastRenderedPageBreak/>
        <w:t xml:space="preserve">appeal the decision. This will be sent within the time frames as specified above and in CFR </w:t>
      </w:r>
      <w:r w:rsidR="00A311BB" w:rsidRPr="00451272">
        <w:rPr>
          <w:rFonts w:ascii="Times New Roman" w:eastAsia="Times New Roman" w:hAnsi="Times New Roman" w:cs="Times New Roman"/>
          <w:sz w:val="24"/>
          <w:szCs w:val="24"/>
        </w:rPr>
        <w:t>42 CFR §438.210(c)</w:t>
      </w:r>
      <w:r w:rsidR="00A311BB">
        <w:rPr>
          <w:rFonts w:ascii="Times New Roman" w:eastAsia="Times New Roman" w:hAnsi="Times New Roman" w:cs="Times New Roman"/>
          <w:sz w:val="24"/>
          <w:szCs w:val="24"/>
        </w:rPr>
        <w:t>. If a decision is not reached within the required time frame, the letter will be sent on the date the time frame expires.</w:t>
      </w:r>
    </w:p>
    <w:p w14:paraId="581E57B4" w14:textId="77777777" w:rsidR="009C6187" w:rsidRDefault="009C6187" w:rsidP="00240169">
      <w:pPr>
        <w:pStyle w:val="NoSpacing"/>
        <w:rPr>
          <w:rFonts w:ascii="Times New Roman" w:eastAsia="Times New Roman" w:hAnsi="Times New Roman" w:cs="Times New Roman"/>
          <w:sz w:val="24"/>
          <w:szCs w:val="24"/>
        </w:rPr>
      </w:pPr>
    </w:p>
    <w:p w14:paraId="1194EED0" w14:textId="78928EE0" w:rsidR="009C6187" w:rsidRPr="009C6187" w:rsidRDefault="009C6187" w:rsidP="009C6187">
      <w:pPr>
        <w:pStyle w:val="NoSpacing"/>
        <w:rPr>
          <w:rFonts w:ascii="Times New Roman" w:eastAsia="Times New Roman" w:hAnsi="Times New Roman" w:cs="Times New Roman"/>
          <w:sz w:val="24"/>
          <w:szCs w:val="24"/>
        </w:rPr>
      </w:pPr>
      <w:r w:rsidRPr="009C6187">
        <w:rPr>
          <w:rFonts w:ascii="Times New Roman" w:eastAsia="Times New Roman" w:hAnsi="Times New Roman" w:cs="Times New Roman"/>
          <w:sz w:val="24"/>
          <w:szCs w:val="24"/>
        </w:rPr>
        <w:t>The notice of adverse benefit determination explains the following:</w:t>
      </w:r>
    </w:p>
    <w:p w14:paraId="31B42543" w14:textId="3E9117B4" w:rsidR="00ED6379" w:rsidRDefault="009C6187" w:rsidP="00F648F9">
      <w:pPr>
        <w:pStyle w:val="NoSpacing"/>
        <w:numPr>
          <w:ilvl w:val="0"/>
          <w:numId w:val="18"/>
        </w:numPr>
        <w:rPr>
          <w:rFonts w:ascii="Times New Roman" w:eastAsia="Times New Roman" w:hAnsi="Times New Roman" w:cs="Times New Roman"/>
          <w:sz w:val="24"/>
          <w:szCs w:val="24"/>
        </w:rPr>
      </w:pPr>
      <w:r w:rsidRPr="009C6187">
        <w:rPr>
          <w:rFonts w:ascii="Times New Roman" w:eastAsia="Times New Roman" w:hAnsi="Times New Roman" w:cs="Times New Roman"/>
          <w:sz w:val="24"/>
          <w:szCs w:val="24"/>
        </w:rPr>
        <w:t xml:space="preserve">Language access statement clarifying that oral interpretation is available for all languages and how to access it and a non-discrimination statement stating that </w:t>
      </w:r>
      <w:r w:rsidR="00ED6379">
        <w:rPr>
          <w:rFonts w:ascii="Times New Roman" w:eastAsia="Times New Roman" w:hAnsi="Times New Roman" w:cs="Times New Roman"/>
          <w:sz w:val="24"/>
          <w:szCs w:val="24"/>
        </w:rPr>
        <w:t>UHA</w:t>
      </w:r>
      <w:r w:rsidRPr="009C6187">
        <w:rPr>
          <w:rFonts w:ascii="Times New Roman" w:eastAsia="Times New Roman" w:hAnsi="Times New Roman" w:cs="Times New Roman"/>
          <w:sz w:val="24"/>
          <w:szCs w:val="24"/>
        </w:rPr>
        <w:t xml:space="preserve"> may not treat members unfairly due to their age, color, disability, gender identity, marital status, national origin, race, religion, sex, or sexual </w:t>
      </w:r>
      <w:r w:rsidR="00EE1766" w:rsidRPr="009C6187">
        <w:rPr>
          <w:rFonts w:ascii="Times New Roman" w:eastAsia="Times New Roman" w:hAnsi="Times New Roman" w:cs="Times New Roman"/>
          <w:sz w:val="24"/>
          <w:szCs w:val="24"/>
        </w:rPr>
        <w:t>orientation.</w:t>
      </w:r>
    </w:p>
    <w:p w14:paraId="022DD586" w14:textId="48A2EE4B" w:rsidR="00ED6379" w:rsidRDefault="00ED6379" w:rsidP="00F648F9">
      <w:pPr>
        <w:pStyle w:val="NoSpacing"/>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UHA’s </w:t>
      </w:r>
      <w:r w:rsidR="009C6187" w:rsidRPr="00ED6379">
        <w:rPr>
          <w:rFonts w:ascii="Times New Roman" w:eastAsia="Times New Roman" w:hAnsi="Times New Roman" w:cs="Times New Roman"/>
          <w:sz w:val="24"/>
          <w:szCs w:val="24"/>
        </w:rPr>
        <w:t xml:space="preserve">contact information including name, address, and telephone </w:t>
      </w:r>
      <w:r w:rsidR="00EE1766" w:rsidRPr="00ED6379">
        <w:rPr>
          <w:rFonts w:ascii="Times New Roman" w:eastAsia="Times New Roman" w:hAnsi="Times New Roman" w:cs="Times New Roman"/>
          <w:sz w:val="24"/>
          <w:szCs w:val="24"/>
        </w:rPr>
        <w:t>number.</w:t>
      </w:r>
      <w:r w:rsidR="009C6187" w:rsidRPr="00ED6379">
        <w:rPr>
          <w:rFonts w:ascii="Times New Roman" w:eastAsia="Times New Roman" w:hAnsi="Times New Roman" w:cs="Times New Roman"/>
          <w:sz w:val="24"/>
          <w:szCs w:val="24"/>
        </w:rPr>
        <w:t xml:space="preserve"> </w:t>
      </w:r>
    </w:p>
    <w:p w14:paraId="4D680477" w14:textId="6BCBC06B" w:rsidR="00ED6379" w:rsidRDefault="009C6187" w:rsidP="00F648F9">
      <w:pPr>
        <w:pStyle w:val="NoSpacing"/>
        <w:numPr>
          <w:ilvl w:val="0"/>
          <w:numId w:val="18"/>
        </w:numPr>
        <w:rPr>
          <w:rFonts w:ascii="Times New Roman" w:eastAsia="Times New Roman" w:hAnsi="Times New Roman" w:cs="Times New Roman"/>
          <w:sz w:val="24"/>
          <w:szCs w:val="24"/>
        </w:rPr>
      </w:pPr>
      <w:r w:rsidRPr="00ED6379">
        <w:rPr>
          <w:rFonts w:ascii="Times New Roman" w:eastAsia="Times New Roman" w:hAnsi="Times New Roman" w:cs="Times New Roman"/>
          <w:sz w:val="24"/>
          <w:szCs w:val="24"/>
        </w:rPr>
        <w:t xml:space="preserve">Date of the </w:t>
      </w:r>
      <w:r w:rsidR="00EE1766" w:rsidRPr="00ED6379">
        <w:rPr>
          <w:rFonts w:ascii="Times New Roman" w:eastAsia="Times New Roman" w:hAnsi="Times New Roman" w:cs="Times New Roman"/>
          <w:sz w:val="24"/>
          <w:szCs w:val="24"/>
        </w:rPr>
        <w:t>notice.</w:t>
      </w:r>
      <w:r w:rsidRPr="00ED6379">
        <w:rPr>
          <w:rFonts w:ascii="Times New Roman" w:eastAsia="Times New Roman" w:hAnsi="Times New Roman" w:cs="Times New Roman"/>
          <w:sz w:val="24"/>
          <w:szCs w:val="24"/>
        </w:rPr>
        <w:t xml:space="preserve"> </w:t>
      </w:r>
    </w:p>
    <w:p w14:paraId="51D38245" w14:textId="10DD0FFC" w:rsidR="00ED6379" w:rsidRDefault="009C6187" w:rsidP="00F648F9">
      <w:pPr>
        <w:pStyle w:val="NoSpacing"/>
        <w:numPr>
          <w:ilvl w:val="0"/>
          <w:numId w:val="18"/>
        </w:numPr>
        <w:rPr>
          <w:rFonts w:ascii="Times New Roman" w:eastAsia="Times New Roman" w:hAnsi="Times New Roman" w:cs="Times New Roman"/>
          <w:sz w:val="24"/>
          <w:szCs w:val="24"/>
        </w:rPr>
      </w:pPr>
      <w:r w:rsidRPr="00ED6379">
        <w:rPr>
          <w:rFonts w:ascii="Times New Roman" w:eastAsia="Times New Roman" w:hAnsi="Times New Roman" w:cs="Times New Roman"/>
          <w:sz w:val="24"/>
          <w:szCs w:val="24"/>
        </w:rPr>
        <w:t xml:space="preserve">Name of the member’s primary care provider (PCP), primary care dentist (PCD), or behavioral health professional if the member has an assigned practitioner. If the member has not yet been assigned a practitioner due to recent enrollment, the NOABD should state that PCP, PCD, or behavioral health professional assignment has not </w:t>
      </w:r>
      <w:r w:rsidR="00EE1766" w:rsidRPr="00ED6379">
        <w:rPr>
          <w:rFonts w:ascii="Times New Roman" w:eastAsia="Times New Roman" w:hAnsi="Times New Roman" w:cs="Times New Roman"/>
          <w:sz w:val="24"/>
          <w:szCs w:val="24"/>
        </w:rPr>
        <w:t>occurred.</w:t>
      </w:r>
      <w:r w:rsidRPr="00ED6379">
        <w:rPr>
          <w:rFonts w:ascii="Times New Roman" w:eastAsia="Times New Roman" w:hAnsi="Times New Roman" w:cs="Times New Roman"/>
          <w:sz w:val="24"/>
          <w:szCs w:val="24"/>
        </w:rPr>
        <w:t xml:space="preserve"> </w:t>
      </w:r>
    </w:p>
    <w:p w14:paraId="656D9A6A" w14:textId="1CD62F2D" w:rsidR="00ED6379" w:rsidRDefault="009C6187" w:rsidP="00F648F9">
      <w:pPr>
        <w:pStyle w:val="NoSpacing"/>
        <w:numPr>
          <w:ilvl w:val="0"/>
          <w:numId w:val="18"/>
        </w:numPr>
        <w:rPr>
          <w:rFonts w:ascii="Times New Roman" w:eastAsia="Times New Roman" w:hAnsi="Times New Roman" w:cs="Times New Roman"/>
          <w:sz w:val="24"/>
          <w:szCs w:val="24"/>
        </w:rPr>
      </w:pPr>
      <w:r w:rsidRPr="00ED6379">
        <w:rPr>
          <w:rFonts w:ascii="Times New Roman" w:eastAsia="Times New Roman" w:hAnsi="Times New Roman" w:cs="Times New Roman"/>
          <w:sz w:val="24"/>
          <w:szCs w:val="24"/>
        </w:rPr>
        <w:t xml:space="preserve">Member’s name, date of birth, address, and OHP ID </w:t>
      </w:r>
      <w:r w:rsidR="00EE1766" w:rsidRPr="00ED6379">
        <w:rPr>
          <w:rFonts w:ascii="Times New Roman" w:eastAsia="Times New Roman" w:hAnsi="Times New Roman" w:cs="Times New Roman"/>
          <w:sz w:val="24"/>
          <w:szCs w:val="24"/>
        </w:rPr>
        <w:t>number.</w:t>
      </w:r>
      <w:r w:rsidRPr="00ED6379">
        <w:rPr>
          <w:rFonts w:ascii="Times New Roman" w:eastAsia="Times New Roman" w:hAnsi="Times New Roman" w:cs="Times New Roman"/>
          <w:sz w:val="24"/>
          <w:szCs w:val="24"/>
        </w:rPr>
        <w:t xml:space="preserve"> </w:t>
      </w:r>
    </w:p>
    <w:p w14:paraId="7EB9E5BB" w14:textId="2BEB8CCA" w:rsidR="00ED6379" w:rsidRDefault="009C6187" w:rsidP="00F648F9">
      <w:pPr>
        <w:pStyle w:val="NoSpacing"/>
        <w:numPr>
          <w:ilvl w:val="0"/>
          <w:numId w:val="18"/>
        </w:numPr>
        <w:rPr>
          <w:rFonts w:ascii="Times New Roman" w:eastAsia="Times New Roman" w:hAnsi="Times New Roman" w:cs="Times New Roman"/>
          <w:sz w:val="24"/>
          <w:szCs w:val="24"/>
        </w:rPr>
      </w:pPr>
      <w:r w:rsidRPr="00ED6379">
        <w:rPr>
          <w:rFonts w:ascii="Times New Roman" w:eastAsia="Times New Roman" w:hAnsi="Times New Roman" w:cs="Times New Roman"/>
          <w:sz w:val="24"/>
          <w:szCs w:val="24"/>
        </w:rPr>
        <w:t xml:space="preserve">Description and explanation of the service(s) requested and the adverse benefit determination </w:t>
      </w:r>
      <w:r w:rsidR="005669DA">
        <w:rPr>
          <w:rFonts w:ascii="Times New Roman" w:eastAsia="Times New Roman" w:hAnsi="Times New Roman" w:cs="Times New Roman"/>
          <w:sz w:val="24"/>
          <w:szCs w:val="24"/>
        </w:rPr>
        <w:t xml:space="preserve">UHA </w:t>
      </w:r>
      <w:r w:rsidRPr="00ED6379">
        <w:rPr>
          <w:rFonts w:ascii="Times New Roman" w:eastAsia="Times New Roman" w:hAnsi="Times New Roman" w:cs="Times New Roman"/>
          <w:sz w:val="24"/>
          <w:szCs w:val="24"/>
        </w:rPr>
        <w:t xml:space="preserve">intends to make, including whether the </w:t>
      </w:r>
      <w:r w:rsidR="005669DA">
        <w:rPr>
          <w:rFonts w:ascii="Times New Roman" w:eastAsia="Times New Roman" w:hAnsi="Times New Roman" w:cs="Times New Roman"/>
          <w:sz w:val="24"/>
          <w:szCs w:val="24"/>
        </w:rPr>
        <w:t>UHA</w:t>
      </w:r>
      <w:r w:rsidRPr="00ED6379">
        <w:rPr>
          <w:rFonts w:ascii="Times New Roman" w:eastAsia="Times New Roman" w:hAnsi="Times New Roman" w:cs="Times New Roman"/>
          <w:sz w:val="24"/>
          <w:szCs w:val="24"/>
        </w:rPr>
        <w:t xml:space="preserve"> is denying, terminating, suspending, or reducing a </w:t>
      </w:r>
      <w:r w:rsidR="00EE1766" w:rsidRPr="00ED6379">
        <w:rPr>
          <w:rFonts w:ascii="Times New Roman" w:eastAsia="Times New Roman" w:hAnsi="Times New Roman" w:cs="Times New Roman"/>
          <w:sz w:val="24"/>
          <w:szCs w:val="24"/>
        </w:rPr>
        <w:t>service.</w:t>
      </w:r>
      <w:r w:rsidRPr="00ED6379">
        <w:rPr>
          <w:rFonts w:ascii="Times New Roman" w:eastAsia="Times New Roman" w:hAnsi="Times New Roman" w:cs="Times New Roman"/>
          <w:sz w:val="24"/>
          <w:szCs w:val="24"/>
        </w:rPr>
        <w:t xml:space="preserve"> </w:t>
      </w:r>
    </w:p>
    <w:p w14:paraId="596BBD63" w14:textId="336AB0A0" w:rsidR="00ED6379" w:rsidRDefault="009C6187" w:rsidP="00F648F9">
      <w:pPr>
        <w:pStyle w:val="NoSpacing"/>
        <w:numPr>
          <w:ilvl w:val="0"/>
          <w:numId w:val="18"/>
        </w:numPr>
        <w:rPr>
          <w:rFonts w:ascii="Times New Roman" w:eastAsia="Times New Roman" w:hAnsi="Times New Roman" w:cs="Times New Roman"/>
          <w:sz w:val="24"/>
          <w:szCs w:val="24"/>
        </w:rPr>
      </w:pPr>
      <w:r w:rsidRPr="00ED6379">
        <w:rPr>
          <w:rFonts w:ascii="Times New Roman" w:eastAsia="Times New Roman" w:hAnsi="Times New Roman" w:cs="Times New Roman"/>
          <w:sz w:val="24"/>
          <w:szCs w:val="24"/>
        </w:rPr>
        <w:t xml:space="preserve">Date the service was requested by the provider or </w:t>
      </w:r>
      <w:r w:rsidR="00EE1766" w:rsidRPr="00ED6379">
        <w:rPr>
          <w:rFonts w:ascii="Times New Roman" w:eastAsia="Times New Roman" w:hAnsi="Times New Roman" w:cs="Times New Roman"/>
          <w:sz w:val="24"/>
          <w:szCs w:val="24"/>
        </w:rPr>
        <w:t>member.</w:t>
      </w:r>
      <w:r w:rsidRPr="00ED6379">
        <w:rPr>
          <w:rFonts w:ascii="Times New Roman" w:eastAsia="Times New Roman" w:hAnsi="Times New Roman" w:cs="Times New Roman"/>
          <w:sz w:val="24"/>
          <w:szCs w:val="24"/>
        </w:rPr>
        <w:t xml:space="preserve"> </w:t>
      </w:r>
    </w:p>
    <w:p w14:paraId="67106485" w14:textId="612B7151" w:rsidR="00ED6379" w:rsidRDefault="009C6187" w:rsidP="00F648F9">
      <w:pPr>
        <w:pStyle w:val="NoSpacing"/>
        <w:numPr>
          <w:ilvl w:val="0"/>
          <w:numId w:val="18"/>
        </w:numPr>
        <w:rPr>
          <w:rFonts w:ascii="Times New Roman" w:eastAsia="Times New Roman" w:hAnsi="Times New Roman" w:cs="Times New Roman"/>
          <w:sz w:val="24"/>
          <w:szCs w:val="24"/>
        </w:rPr>
      </w:pPr>
      <w:r w:rsidRPr="00ED6379">
        <w:rPr>
          <w:rFonts w:ascii="Times New Roman" w:eastAsia="Times New Roman" w:hAnsi="Times New Roman" w:cs="Times New Roman"/>
          <w:sz w:val="24"/>
          <w:szCs w:val="24"/>
        </w:rPr>
        <w:t xml:space="preserve">Name of the provider who requested the </w:t>
      </w:r>
      <w:r w:rsidR="00EE1766" w:rsidRPr="00ED6379">
        <w:rPr>
          <w:rFonts w:ascii="Times New Roman" w:eastAsia="Times New Roman" w:hAnsi="Times New Roman" w:cs="Times New Roman"/>
          <w:sz w:val="24"/>
          <w:szCs w:val="24"/>
        </w:rPr>
        <w:t>service.</w:t>
      </w:r>
      <w:r w:rsidRPr="00ED6379">
        <w:rPr>
          <w:rFonts w:ascii="Times New Roman" w:eastAsia="Times New Roman" w:hAnsi="Times New Roman" w:cs="Times New Roman"/>
          <w:sz w:val="24"/>
          <w:szCs w:val="24"/>
        </w:rPr>
        <w:t xml:space="preserve"> </w:t>
      </w:r>
    </w:p>
    <w:p w14:paraId="22DA6A3E" w14:textId="55A91FB8" w:rsidR="00ED6379" w:rsidRDefault="009C6187" w:rsidP="00F648F9">
      <w:pPr>
        <w:pStyle w:val="NoSpacing"/>
        <w:numPr>
          <w:ilvl w:val="0"/>
          <w:numId w:val="18"/>
        </w:numPr>
        <w:rPr>
          <w:rFonts w:ascii="Times New Roman" w:eastAsia="Times New Roman" w:hAnsi="Times New Roman" w:cs="Times New Roman"/>
          <w:sz w:val="24"/>
          <w:szCs w:val="24"/>
        </w:rPr>
      </w:pPr>
      <w:r w:rsidRPr="00ED6379">
        <w:rPr>
          <w:rFonts w:ascii="Times New Roman" w:eastAsia="Times New Roman" w:hAnsi="Times New Roman" w:cs="Times New Roman"/>
          <w:sz w:val="24"/>
          <w:szCs w:val="24"/>
        </w:rPr>
        <w:t xml:space="preserve">Effective date of the adverse benefit determination if different from the date of the </w:t>
      </w:r>
      <w:r w:rsidR="00EE1766" w:rsidRPr="00ED6379">
        <w:rPr>
          <w:rFonts w:ascii="Times New Roman" w:eastAsia="Times New Roman" w:hAnsi="Times New Roman" w:cs="Times New Roman"/>
          <w:sz w:val="24"/>
          <w:szCs w:val="24"/>
        </w:rPr>
        <w:t>NOABD.</w:t>
      </w:r>
      <w:r w:rsidRPr="00ED6379">
        <w:rPr>
          <w:rFonts w:ascii="Times New Roman" w:eastAsia="Times New Roman" w:hAnsi="Times New Roman" w:cs="Times New Roman"/>
          <w:sz w:val="24"/>
          <w:szCs w:val="24"/>
        </w:rPr>
        <w:t xml:space="preserve"> </w:t>
      </w:r>
    </w:p>
    <w:p w14:paraId="303A8B67" w14:textId="383CD63B" w:rsidR="00ED6379" w:rsidRDefault="009C6187" w:rsidP="00F648F9">
      <w:pPr>
        <w:pStyle w:val="NoSpacing"/>
        <w:numPr>
          <w:ilvl w:val="0"/>
          <w:numId w:val="18"/>
        </w:numPr>
        <w:rPr>
          <w:rFonts w:ascii="Times New Roman" w:eastAsia="Times New Roman" w:hAnsi="Times New Roman" w:cs="Times New Roman"/>
          <w:sz w:val="24"/>
          <w:szCs w:val="24"/>
        </w:rPr>
      </w:pPr>
      <w:r w:rsidRPr="00ED6379">
        <w:rPr>
          <w:rFonts w:ascii="Times New Roman" w:eastAsia="Times New Roman" w:hAnsi="Times New Roman" w:cs="Times New Roman"/>
          <w:sz w:val="24"/>
          <w:szCs w:val="24"/>
        </w:rPr>
        <w:t xml:space="preserve">Diagnosis and procedure codes submitted with the authorization request, including a description in plain language if </w:t>
      </w:r>
      <w:r w:rsidR="005669DA">
        <w:rPr>
          <w:rFonts w:ascii="Times New Roman" w:eastAsia="Times New Roman" w:hAnsi="Times New Roman" w:cs="Times New Roman"/>
          <w:sz w:val="24"/>
          <w:szCs w:val="24"/>
        </w:rPr>
        <w:t>UHA</w:t>
      </w:r>
      <w:r w:rsidRPr="00ED6379">
        <w:rPr>
          <w:rFonts w:ascii="Times New Roman" w:eastAsia="Times New Roman" w:hAnsi="Times New Roman" w:cs="Times New Roman"/>
          <w:sz w:val="24"/>
          <w:szCs w:val="24"/>
        </w:rPr>
        <w:t xml:space="preserve"> is denying a requested service because of line placement on the prioritized list or the diagnosis and procedure code do not pair on the prioritized </w:t>
      </w:r>
      <w:r w:rsidR="00EE1766" w:rsidRPr="00ED6379">
        <w:rPr>
          <w:rFonts w:ascii="Times New Roman" w:eastAsia="Times New Roman" w:hAnsi="Times New Roman" w:cs="Times New Roman"/>
          <w:sz w:val="24"/>
          <w:szCs w:val="24"/>
        </w:rPr>
        <w:t>list.</w:t>
      </w:r>
      <w:r w:rsidRPr="00ED6379">
        <w:rPr>
          <w:rFonts w:ascii="Times New Roman" w:eastAsia="Times New Roman" w:hAnsi="Times New Roman" w:cs="Times New Roman"/>
          <w:sz w:val="24"/>
          <w:szCs w:val="24"/>
        </w:rPr>
        <w:t xml:space="preserve"> </w:t>
      </w:r>
    </w:p>
    <w:p w14:paraId="0E196618" w14:textId="7F153A58" w:rsidR="00ED6379" w:rsidRDefault="009C6187" w:rsidP="00F648F9">
      <w:pPr>
        <w:pStyle w:val="NoSpacing"/>
        <w:numPr>
          <w:ilvl w:val="0"/>
          <w:numId w:val="18"/>
        </w:numPr>
        <w:rPr>
          <w:rFonts w:ascii="Times New Roman" w:eastAsia="Times New Roman" w:hAnsi="Times New Roman" w:cs="Times New Roman"/>
          <w:sz w:val="24"/>
          <w:szCs w:val="24"/>
        </w:rPr>
      </w:pPr>
      <w:r w:rsidRPr="00ED6379">
        <w:rPr>
          <w:rFonts w:ascii="Times New Roman" w:eastAsia="Times New Roman" w:hAnsi="Times New Roman" w:cs="Times New Roman"/>
          <w:sz w:val="24"/>
          <w:szCs w:val="24"/>
        </w:rPr>
        <w:t xml:space="preserve">Other conditions </w:t>
      </w:r>
      <w:r w:rsidR="005669DA">
        <w:rPr>
          <w:rFonts w:ascii="Times New Roman" w:eastAsia="Times New Roman" w:hAnsi="Times New Roman" w:cs="Times New Roman"/>
          <w:sz w:val="24"/>
          <w:szCs w:val="24"/>
        </w:rPr>
        <w:t>UHA</w:t>
      </w:r>
      <w:r w:rsidRPr="00ED6379">
        <w:rPr>
          <w:rFonts w:ascii="Times New Roman" w:eastAsia="Times New Roman" w:hAnsi="Times New Roman" w:cs="Times New Roman"/>
          <w:sz w:val="24"/>
          <w:szCs w:val="24"/>
        </w:rPr>
        <w:t xml:space="preserve"> considered including but not limited to: co-morbidity factors if the service was below the funding line on the prioritized list; statement of intent governing the use and application of the prioritized list to requests for health care services including the placement of the condition/diagnosis code on the prioritized list; and other coverage for services addressed in the State 1115 Waiver; </w:t>
      </w:r>
    </w:p>
    <w:p w14:paraId="5A309868" w14:textId="6223CE96" w:rsidR="00ED6379" w:rsidRDefault="009C6187" w:rsidP="00F648F9">
      <w:pPr>
        <w:pStyle w:val="NoSpacing"/>
        <w:numPr>
          <w:ilvl w:val="0"/>
          <w:numId w:val="18"/>
        </w:numPr>
        <w:rPr>
          <w:rFonts w:ascii="Times New Roman" w:eastAsia="Times New Roman" w:hAnsi="Times New Roman" w:cs="Times New Roman"/>
          <w:sz w:val="24"/>
          <w:szCs w:val="24"/>
        </w:rPr>
      </w:pPr>
      <w:r w:rsidRPr="00ED6379">
        <w:rPr>
          <w:rFonts w:ascii="Times New Roman" w:eastAsia="Times New Roman" w:hAnsi="Times New Roman" w:cs="Times New Roman"/>
          <w:sz w:val="24"/>
          <w:szCs w:val="24"/>
        </w:rPr>
        <w:t xml:space="preserve">Clear and thorough explanation of the specific reasons for the adverse benefit </w:t>
      </w:r>
      <w:r w:rsidR="00EE1766" w:rsidRPr="00ED6379">
        <w:rPr>
          <w:rFonts w:ascii="Times New Roman" w:eastAsia="Times New Roman" w:hAnsi="Times New Roman" w:cs="Times New Roman"/>
          <w:sz w:val="24"/>
          <w:szCs w:val="24"/>
        </w:rPr>
        <w:t>determination.</w:t>
      </w:r>
      <w:r w:rsidRPr="00ED6379">
        <w:rPr>
          <w:rFonts w:ascii="Times New Roman" w:eastAsia="Times New Roman" w:hAnsi="Times New Roman" w:cs="Times New Roman"/>
          <w:sz w:val="24"/>
          <w:szCs w:val="24"/>
        </w:rPr>
        <w:t xml:space="preserve"> </w:t>
      </w:r>
    </w:p>
    <w:p w14:paraId="74BB46E8" w14:textId="6A035237" w:rsidR="00ED6379" w:rsidRDefault="009C6187" w:rsidP="00F648F9">
      <w:pPr>
        <w:pStyle w:val="NoSpacing"/>
        <w:numPr>
          <w:ilvl w:val="0"/>
          <w:numId w:val="18"/>
        </w:numPr>
        <w:rPr>
          <w:rFonts w:ascii="Times New Roman" w:eastAsia="Times New Roman" w:hAnsi="Times New Roman" w:cs="Times New Roman"/>
          <w:sz w:val="24"/>
          <w:szCs w:val="24"/>
        </w:rPr>
      </w:pPr>
      <w:r w:rsidRPr="00ED6379">
        <w:rPr>
          <w:rFonts w:ascii="Times New Roman" w:eastAsia="Times New Roman" w:hAnsi="Times New Roman" w:cs="Times New Roman"/>
          <w:sz w:val="24"/>
          <w:szCs w:val="24"/>
        </w:rPr>
        <w:t xml:space="preserve">A reference to the specific sections of the statutes and administrative rules to the highest level of specificity for each reason and specific circumstances identified in the </w:t>
      </w:r>
      <w:r w:rsidR="00EE1766" w:rsidRPr="00ED6379">
        <w:rPr>
          <w:rFonts w:ascii="Times New Roman" w:eastAsia="Times New Roman" w:hAnsi="Times New Roman" w:cs="Times New Roman"/>
          <w:sz w:val="24"/>
          <w:szCs w:val="24"/>
        </w:rPr>
        <w:t>NOABD.</w:t>
      </w:r>
      <w:r w:rsidRPr="00ED6379">
        <w:rPr>
          <w:rFonts w:ascii="Times New Roman" w:eastAsia="Times New Roman" w:hAnsi="Times New Roman" w:cs="Times New Roman"/>
          <w:sz w:val="24"/>
          <w:szCs w:val="24"/>
        </w:rPr>
        <w:t xml:space="preserve"> </w:t>
      </w:r>
    </w:p>
    <w:p w14:paraId="6F7666B6" w14:textId="729B78FE" w:rsidR="00ED6379" w:rsidRDefault="009C6187" w:rsidP="00F648F9">
      <w:pPr>
        <w:pStyle w:val="NoSpacing"/>
        <w:numPr>
          <w:ilvl w:val="0"/>
          <w:numId w:val="18"/>
        </w:numPr>
        <w:rPr>
          <w:rFonts w:ascii="Times New Roman" w:eastAsia="Times New Roman" w:hAnsi="Times New Roman" w:cs="Times New Roman"/>
          <w:sz w:val="24"/>
          <w:szCs w:val="24"/>
        </w:rPr>
      </w:pPr>
      <w:r w:rsidRPr="00ED6379">
        <w:rPr>
          <w:rFonts w:ascii="Times New Roman" w:eastAsia="Times New Roman" w:hAnsi="Times New Roman" w:cs="Times New Roman"/>
          <w:sz w:val="24"/>
          <w:szCs w:val="24"/>
        </w:rPr>
        <w:t xml:space="preserve">The member’s right or, if the member provides written consent as required under OAR 410-141-3890(1), the provider’s right to file a written or oral appeal of CCO’s adverse benefit determination with </w:t>
      </w:r>
      <w:r w:rsidR="00CC24E5">
        <w:rPr>
          <w:rFonts w:ascii="Times New Roman" w:eastAsia="Times New Roman" w:hAnsi="Times New Roman" w:cs="Times New Roman"/>
          <w:sz w:val="24"/>
          <w:szCs w:val="24"/>
        </w:rPr>
        <w:t>UHA</w:t>
      </w:r>
      <w:r w:rsidRPr="00ED6379">
        <w:rPr>
          <w:rFonts w:ascii="Times New Roman" w:eastAsia="Times New Roman" w:hAnsi="Times New Roman" w:cs="Times New Roman"/>
          <w:sz w:val="24"/>
          <w:szCs w:val="24"/>
        </w:rPr>
        <w:t xml:space="preserve">, including information on exhausting </w:t>
      </w:r>
      <w:r w:rsidR="00CC24E5">
        <w:rPr>
          <w:rFonts w:ascii="Times New Roman" w:eastAsia="Times New Roman" w:hAnsi="Times New Roman" w:cs="Times New Roman"/>
          <w:sz w:val="24"/>
          <w:szCs w:val="24"/>
        </w:rPr>
        <w:t>UHA’s</w:t>
      </w:r>
      <w:r w:rsidRPr="00ED6379">
        <w:rPr>
          <w:rFonts w:ascii="Times New Roman" w:eastAsia="Times New Roman" w:hAnsi="Times New Roman" w:cs="Times New Roman"/>
          <w:sz w:val="24"/>
          <w:szCs w:val="24"/>
        </w:rPr>
        <w:t xml:space="preserve"> one level of appeal, and the procedures to exercise that </w:t>
      </w:r>
      <w:r w:rsidR="00EE1766" w:rsidRPr="00ED6379">
        <w:rPr>
          <w:rFonts w:ascii="Times New Roman" w:eastAsia="Times New Roman" w:hAnsi="Times New Roman" w:cs="Times New Roman"/>
          <w:sz w:val="24"/>
          <w:szCs w:val="24"/>
        </w:rPr>
        <w:t>right.</w:t>
      </w:r>
      <w:r w:rsidRPr="00ED6379">
        <w:rPr>
          <w:rFonts w:ascii="Times New Roman" w:eastAsia="Times New Roman" w:hAnsi="Times New Roman" w:cs="Times New Roman"/>
          <w:sz w:val="24"/>
          <w:szCs w:val="24"/>
        </w:rPr>
        <w:t xml:space="preserve"> </w:t>
      </w:r>
    </w:p>
    <w:p w14:paraId="1984A196" w14:textId="698AE4DD" w:rsidR="006B359D" w:rsidRPr="006B359D" w:rsidRDefault="006B359D" w:rsidP="00F648F9">
      <w:pPr>
        <w:pStyle w:val="NoSpacing"/>
        <w:numPr>
          <w:ilvl w:val="2"/>
          <w:numId w:val="18"/>
        </w:numPr>
        <w:rPr>
          <w:rFonts w:ascii="Times New Roman" w:eastAsia="Times New Roman" w:hAnsi="Times New Roman" w:cs="Times New Roman"/>
          <w:sz w:val="24"/>
          <w:szCs w:val="24"/>
        </w:rPr>
      </w:pPr>
      <w:r w:rsidRPr="006B359D">
        <w:rPr>
          <w:rFonts w:ascii="Times New Roman" w:eastAsia="Times New Roman" w:hAnsi="Times New Roman" w:cs="Times New Roman"/>
          <w:sz w:val="24"/>
          <w:szCs w:val="24"/>
        </w:rPr>
        <w:t xml:space="preserve">The appeal information to members </w:t>
      </w:r>
      <w:r w:rsidR="00EE1766">
        <w:rPr>
          <w:rFonts w:ascii="Times New Roman" w:eastAsia="Times New Roman" w:hAnsi="Times New Roman" w:cs="Times New Roman"/>
          <w:sz w:val="24"/>
          <w:szCs w:val="24"/>
        </w:rPr>
        <w:t>includes</w:t>
      </w:r>
      <w:r w:rsidRPr="006B359D">
        <w:rPr>
          <w:rFonts w:ascii="Times New Roman" w:eastAsia="Times New Roman" w:hAnsi="Times New Roman" w:cs="Times New Roman"/>
          <w:sz w:val="24"/>
          <w:szCs w:val="24"/>
        </w:rPr>
        <w:t xml:space="preserve"> following information: </w:t>
      </w:r>
    </w:p>
    <w:p w14:paraId="1037ACB2" w14:textId="54F816A3" w:rsidR="006B359D" w:rsidRPr="006B359D" w:rsidRDefault="006B359D" w:rsidP="00F648F9">
      <w:pPr>
        <w:pStyle w:val="NoSpacing"/>
        <w:numPr>
          <w:ilvl w:val="3"/>
          <w:numId w:val="18"/>
        </w:numPr>
        <w:rPr>
          <w:rFonts w:ascii="Times New Roman" w:eastAsia="Times New Roman" w:hAnsi="Times New Roman" w:cs="Times New Roman"/>
          <w:sz w:val="24"/>
          <w:szCs w:val="24"/>
        </w:rPr>
      </w:pPr>
      <w:r w:rsidRPr="006B359D">
        <w:rPr>
          <w:rFonts w:ascii="Times New Roman" w:eastAsia="Times New Roman" w:hAnsi="Times New Roman" w:cs="Times New Roman"/>
          <w:sz w:val="24"/>
          <w:szCs w:val="24"/>
        </w:rPr>
        <w:t xml:space="preserve">The sixty (60) days’ time limit for filing an </w:t>
      </w:r>
      <w:r w:rsidR="00EE1766" w:rsidRPr="006B359D">
        <w:rPr>
          <w:rFonts w:ascii="Times New Roman" w:eastAsia="Times New Roman" w:hAnsi="Times New Roman" w:cs="Times New Roman"/>
          <w:sz w:val="24"/>
          <w:szCs w:val="24"/>
        </w:rPr>
        <w:t>Appeal.</w:t>
      </w:r>
      <w:r w:rsidRPr="006B359D">
        <w:rPr>
          <w:rFonts w:ascii="Times New Roman" w:eastAsia="Times New Roman" w:hAnsi="Times New Roman" w:cs="Times New Roman"/>
          <w:sz w:val="24"/>
          <w:szCs w:val="24"/>
        </w:rPr>
        <w:t xml:space="preserve"> </w:t>
      </w:r>
    </w:p>
    <w:p w14:paraId="42E8DACB" w14:textId="4A502E91" w:rsidR="006B359D" w:rsidRPr="006B359D" w:rsidRDefault="006B359D" w:rsidP="00F648F9">
      <w:pPr>
        <w:pStyle w:val="NoSpacing"/>
        <w:numPr>
          <w:ilvl w:val="3"/>
          <w:numId w:val="18"/>
        </w:numPr>
        <w:rPr>
          <w:rFonts w:ascii="Times New Roman" w:eastAsia="Times New Roman" w:hAnsi="Times New Roman" w:cs="Times New Roman"/>
          <w:sz w:val="24"/>
          <w:szCs w:val="24"/>
        </w:rPr>
      </w:pPr>
      <w:r w:rsidRPr="006B359D">
        <w:rPr>
          <w:rFonts w:ascii="Times New Roman" w:eastAsia="Times New Roman" w:hAnsi="Times New Roman" w:cs="Times New Roman"/>
          <w:sz w:val="24"/>
          <w:szCs w:val="24"/>
        </w:rPr>
        <w:lastRenderedPageBreak/>
        <w:t xml:space="preserve">The toll-free numbers that the Member can use to file an Appeal by </w:t>
      </w:r>
      <w:r w:rsidR="00EE1766" w:rsidRPr="006B359D">
        <w:rPr>
          <w:rFonts w:ascii="Times New Roman" w:eastAsia="Times New Roman" w:hAnsi="Times New Roman" w:cs="Times New Roman"/>
          <w:sz w:val="24"/>
          <w:szCs w:val="24"/>
        </w:rPr>
        <w:t>phone.</w:t>
      </w:r>
      <w:r w:rsidRPr="006B359D">
        <w:rPr>
          <w:rFonts w:ascii="Times New Roman" w:eastAsia="Times New Roman" w:hAnsi="Times New Roman" w:cs="Times New Roman"/>
          <w:sz w:val="24"/>
          <w:szCs w:val="24"/>
        </w:rPr>
        <w:t xml:space="preserve"> </w:t>
      </w:r>
    </w:p>
    <w:p w14:paraId="7A1E6513" w14:textId="75C0798E" w:rsidR="006B359D" w:rsidRPr="006B359D" w:rsidRDefault="006B359D" w:rsidP="00F648F9">
      <w:pPr>
        <w:pStyle w:val="NoSpacing"/>
        <w:numPr>
          <w:ilvl w:val="3"/>
          <w:numId w:val="18"/>
        </w:numPr>
        <w:rPr>
          <w:rFonts w:ascii="Times New Roman" w:eastAsia="Times New Roman" w:hAnsi="Times New Roman" w:cs="Times New Roman"/>
          <w:sz w:val="24"/>
          <w:szCs w:val="24"/>
        </w:rPr>
      </w:pPr>
      <w:r w:rsidRPr="006B359D">
        <w:rPr>
          <w:rFonts w:ascii="Times New Roman" w:eastAsia="Times New Roman" w:hAnsi="Times New Roman" w:cs="Times New Roman"/>
          <w:sz w:val="24"/>
          <w:szCs w:val="24"/>
        </w:rPr>
        <w:t xml:space="preserve">The availability of assistance in the filing </w:t>
      </w:r>
      <w:r w:rsidR="00EE1766" w:rsidRPr="006B359D">
        <w:rPr>
          <w:rFonts w:ascii="Times New Roman" w:eastAsia="Times New Roman" w:hAnsi="Times New Roman" w:cs="Times New Roman"/>
          <w:sz w:val="24"/>
          <w:szCs w:val="24"/>
        </w:rPr>
        <w:t>process.</w:t>
      </w:r>
      <w:r w:rsidRPr="006B359D">
        <w:rPr>
          <w:rFonts w:ascii="Times New Roman" w:eastAsia="Times New Roman" w:hAnsi="Times New Roman" w:cs="Times New Roman"/>
          <w:sz w:val="24"/>
          <w:szCs w:val="24"/>
        </w:rPr>
        <w:t xml:space="preserve"> </w:t>
      </w:r>
    </w:p>
    <w:p w14:paraId="7B18871B" w14:textId="5D69DF09" w:rsidR="006B359D" w:rsidRPr="006B359D" w:rsidRDefault="006B359D" w:rsidP="00F648F9">
      <w:pPr>
        <w:pStyle w:val="NoSpacing"/>
        <w:numPr>
          <w:ilvl w:val="3"/>
          <w:numId w:val="18"/>
        </w:numPr>
        <w:rPr>
          <w:rFonts w:ascii="Times New Roman" w:eastAsia="Times New Roman" w:hAnsi="Times New Roman" w:cs="Times New Roman"/>
          <w:sz w:val="24"/>
          <w:szCs w:val="24"/>
        </w:rPr>
      </w:pPr>
      <w:r w:rsidRPr="006B359D">
        <w:rPr>
          <w:rFonts w:ascii="Times New Roman" w:eastAsia="Times New Roman" w:hAnsi="Times New Roman" w:cs="Times New Roman"/>
          <w:sz w:val="24"/>
          <w:szCs w:val="24"/>
        </w:rPr>
        <w:t xml:space="preserve">The process to request a Contested Case Hearing after an </w:t>
      </w:r>
      <w:r w:rsidR="00EE1766" w:rsidRPr="006B359D">
        <w:rPr>
          <w:rFonts w:ascii="Times New Roman" w:eastAsia="Times New Roman" w:hAnsi="Times New Roman" w:cs="Times New Roman"/>
          <w:sz w:val="24"/>
          <w:szCs w:val="24"/>
        </w:rPr>
        <w:t>Appeal.</w:t>
      </w:r>
      <w:r w:rsidRPr="006B359D">
        <w:rPr>
          <w:rFonts w:ascii="Times New Roman" w:eastAsia="Times New Roman" w:hAnsi="Times New Roman" w:cs="Times New Roman"/>
          <w:sz w:val="24"/>
          <w:szCs w:val="24"/>
        </w:rPr>
        <w:t xml:space="preserve"> </w:t>
      </w:r>
    </w:p>
    <w:p w14:paraId="770404BA" w14:textId="5A9183D8" w:rsidR="006B359D" w:rsidRPr="006B359D" w:rsidRDefault="006B359D" w:rsidP="00F648F9">
      <w:pPr>
        <w:pStyle w:val="NoSpacing"/>
        <w:numPr>
          <w:ilvl w:val="3"/>
          <w:numId w:val="18"/>
        </w:numPr>
        <w:rPr>
          <w:rFonts w:ascii="Times New Roman" w:eastAsia="Times New Roman" w:hAnsi="Times New Roman" w:cs="Times New Roman"/>
          <w:sz w:val="24"/>
          <w:szCs w:val="24"/>
        </w:rPr>
      </w:pPr>
      <w:r w:rsidRPr="006B359D">
        <w:rPr>
          <w:rFonts w:ascii="Times New Roman" w:eastAsia="Times New Roman" w:hAnsi="Times New Roman" w:cs="Times New Roman"/>
          <w:sz w:val="24"/>
          <w:szCs w:val="24"/>
        </w:rPr>
        <w:t xml:space="preserve">The rules that govern representation at the Contested Case Hearing; and </w:t>
      </w:r>
    </w:p>
    <w:p w14:paraId="28075775" w14:textId="7A1A20DB" w:rsidR="001918C8" w:rsidRDefault="006B359D" w:rsidP="00F648F9">
      <w:pPr>
        <w:pStyle w:val="NoSpacing"/>
        <w:numPr>
          <w:ilvl w:val="3"/>
          <w:numId w:val="18"/>
        </w:numPr>
        <w:rPr>
          <w:rFonts w:ascii="Times New Roman" w:eastAsia="Times New Roman" w:hAnsi="Times New Roman" w:cs="Times New Roman"/>
          <w:sz w:val="24"/>
          <w:szCs w:val="24"/>
        </w:rPr>
      </w:pPr>
      <w:r w:rsidRPr="006B359D">
        <w:rPr>
          <w:rFonts w:ascii="Times New Roman" w:eastAsia="Times New Roman" w:hAnsi="Times New Roman" w:cs="Times New Roman"/>
          <w:sz w:val="24"/>
          <w:szCs w:val="24"/>
        </w:rPr>
        <w:t>The right to have an attorney or Member Representative present at the Contested Case Hearing and the availability of free legal help through Legal Aid Services and Oregon Law Center, including the telephone number of the Public Benefits Hotline, 1-800-520-5292, TTY 711</w:t>
      </w:r>
      <w:r>
        <w:rPr>
          <w:rFonts w:ascii="Times New Roman" w:eastAsia="Times New Roman" w:hAnsi="Times New Roman" w:cs="Times New Roman"/>
          <w:sz w:val="24"/>
          <w:szCs w:val="24"/>
        </w:rPr>
        <w:t>.</w:t>
      </w:r>
    </w:p>
    <w:p w14:paraId="0A163F01" w14:textId="38FF8AED" w:rsidR="00ED6379" w:rsidRDefault="009C6187" w:rsidP="00F648F9">
      <w:pPr>
        <w:pStyle w:val="NoSpacing"/>
        <w:numPr>
          <w:ilvl w:val="0"/>
          <w:numId w:val="18"/>
        </w:numPr>
        <w:rPr>
          <w:rFonts w:ascii="Times New Roman" w:eastAsia="Times New Roman" w:hAnsi="Times New Roman" w:cs="Times New Roman"/>
          <w:sz w:val="24"/>
          <w:szCs w:val="24"/>
        </w:rPr>
      </w:pPr>
      <w:r w:rsidRPr="00ED6379">
        <w:rPr>
          <w:rFonts w:ascii="Times New Roman" w:eastAsia="Times New Roman" w:hAnsi="Times New Roman" w:cs="Times New Roman"/>
          <w:sz w:val="24"/>
          <w:szCs w:val="24"/>
        </w:rPr>
        <w:t xml:space="preserve">The member’s or the provider’s right to request a contested case hearing with OHA only after </w:t>
      </w:r>
      <w:r w:rsidR="00CC24E5">
        <w:rPr>
          <w:rFonts w:ascii="Times New Roman" w:eastAsia="Times New Roman" w:hAnsi="Times New Roman" w:cs="Times New Roman"/>
          <w:sz w:val="24"/>
          <w:szCs w:val="24"/>
        </w:rPr>
        <w:t>UHA’s</w:t>
      </w:r>
      <w:r w:rsidRPr="00ED6379">
        <w:rPr>
          <w:rFonts w:ascii="Times New Roman" w:eastAsia="Times New Roman" w:hAnsi="Times New Roman" w:cs="Times New Roman"/>
          <w:sz w:val="24"/>
          <w:szCs w:val="24"/>
        </w:rPr>
        <w:t xml:space="preserve"> notice of appeal resolution or where CCO failed to meet appeal timelines in OAR 410-141-3890 and 410-141-3895, and the procedures to exercise that </w:t>
      </w:r>
      <w:r w:rsidR="00EE1766" w:rsidRPr="00ED6379">
        <w:rPr>
          <w:rFonts w:ascii="Times New Roman" w:eastAsia="Times New Roman" w:hAnsi="Times New Roman" w:cs="Times New Roman"/>
          <w:sz w:val="24"/>
          <w:szCs w:val="24"/>
        </w:rPr>
        <w:t>right.</w:t>
      </w:r>
    </w:p>
    <w:p w14:paraId="22715416" w14:textId="0AD097F2" w:rsidR="00ED6379" w:rsidRDefault="009C6187" w:rsidP="00F648F9">
      <w:pPr>
        <w:pStyle w:val="NoSpacing"/>
        <w:numPr>
          <w:ilvl w:val="0"/>
          <w:numId w:val="18"/>
        </w:numPr>
        <w:rPr>
          <w:rFonts w:ascii="Times New Roman" w:eastAsia="Times New Roman" w:hAnsi="Times New Roman" w:cs="Times New Roman"/>
          <w:sz w:val="24"/>
          <w:szCs w:val="24"/>
        </w:rPr>
      </w:pPr>
      <w:r w:rsidRPr="00ED6379">
        <w:rPr>
          <w:rFonts w:ascii="Times New Roman" w:eastAsia="Times New Roman" w:hAnsi="Times New Roman" w:cs="Times New Roman"/>
          <w:sz w:val="24"/>
          <w:szCs w:val="24"/>
        </w:rPr>
        <w:t xml:space="preserve">The circumstances under which an expedited appeal resolution and an expedited contested case hearing are available and how to </w:t>
      </w:r>
      <w:r w:rsidR="00EE1766" w:rsidRPr="00ED6379">
        <w:rPr>
          <w:rFonts w:ascii="Times New Roman" w:eastAsia="Times New Roman" w:hAnsi="Times New Roman" w:cs="Times New Roman"/>
          <w:sz w:val="24"/>
          <w:szCs w:val="24"/>
        </w:rPr>
        <w:t>request.</w:t>
      </w:r>
    </w:p>
    <w:p w14:paraId="5DD585AA" w14:textId="69607A83" w:rsidR="00ED6379" w:rsidRDefault="009C6187" w:rsidP="00F648F9">
      <w:pPr>
        <w:pStyle w:val="NoSpacing"/>
        <w:numPr>
          <w:ilvl w:val="0"/>
          <w:numId w:val="18"/>
        </w:numPr>
        <w:rPr>
          <w:rFonts w:ascii="Times New Roman" w:eastAsia="Times New Roman" w:hAnsi="Times New Roman" w:cs="Times New Roman"/>
          <w:sz w:val="24"/>
          <w:szCs w:val="24"/>
        </w:rPr>
      </w:pPr>
      <w:r w:rsidRPr="00ED6379">
        <w:rPr>
          <w:rFonts w:ascii="Times New Roman" w:eastAsia="Times New Roman" w:hAnsi="Times New Roman" w:cs="Times New Roman"/>
          <w:sz w:val="24"/>
          <w:szCs w:val="24"/>
        </w:rPr>
        <w:t xml:space="preserve">The member’s right to have benefits continue pending resolution of the appeal, how to request that benefits be continued, and the circumstances under which the member may be required to pay the costs of the </w:t>
      </w:r>
      <w:r w:rsidR="00EE1766" w:rsidRPr="00ED6379">
        <w:rPr>
          <w:rFonts w:ascii="Times New Roman" w:eastAsia="Times New Roman" w:hAnsi="Times New Roman" w:cs="Times New Roman"/>
          <w:sz w:val="24"/>
          <w:szCs w:val="24"/>
        </w:rPr>
        <w:t>services.</w:t>
      </w:r>
      <w:r w:rsidRPr="00ED6379">
        <w:rPr>
          <w:rFonts w:ascii="Times New Roman" w:eastAsia="Times New Roman" w:hAnsi="Times New Roman" w:cs="Times New Roman"/>
          <w:sz w:val="24"/>
          <w:szCs w:val="24"/>
        </w:rPr>
        <w:t xml:space="preserve"> </w:t>
      </w:r>
    </w:p>
    <w:p w14:paraId="70E62BFA" w14:textId="1F22C3BF" w:rsidR="00ED6379" w:rsidRDefault="009C6187" w:rsidP="00F648F9">
      <w:pPr>
        <w:pStyle w:val="NoSpacing"/>
        <w:numPr>
          <w:ilvl w:val="0"/>
          <w:numId w:val="18"/>
        </w:numPr>
        <w:rPr>
          <w:rFonts w:ascii="Times New Roman" w:eastAsia="Times New Roman" w:hAnsi="Times New Roman" w:cs="Times New Roman"/>
          <w:sz w:val="24"/>
          <w:szCs w:val="24"/>
        </w:rPr>
      </w:pPr>
      <w:r w:rsidRPr="00ED6379">
        <w:rPr>
          <w:rFonts w:ascii="Times New Roman" w:eastAsia="Times New Roman" w:hAnsi="Times New Roman" w:cs="Times New Roman"/>
          <w:sz w:val="24"/>
          <w:szCs w:val="24"/>
        </w:rPr>
        <w:t xml:space="preserve">The member’s right to receive from </w:t>
      </w:r>
      <w:r w:rsidR="00CC24E5">
        <w:rPr>
          <w:rFonts w:ascii="Times New Roman" w:eastAsia="Times New Roman" w:hAnsi="Times New Roman" w:cs="Times New Roman"/>
          <w:sz w:val="24"/>
          <w:szCs w:val="24"/>
        </w:rPr>
        <w:t>UHA</w:t>
      </w:r>
      <w:r w:rsidRPr="00ED6379">
        <w:rPr>
          <w:rFonts w:ascii="Times New Roman" w:eastAsia="Times New Roman" w:hAnsi="Times New Roman" w:cs="Times New Roman"/>
          <w:sz w:val="24"/>
          <w:szCs w:val="24"/>
        </w:rPr>
        <w:t xml:space="preserve">, upon request and free of charge, reasonable access to and copies of all documents, </w:t>
      </w:r>
      <w:r w:rsidR="00EE1766" w:rsidRPr="00ED6379">
        <w:rPr>
          <w:rFonts w:ascii="Times New Roman" w:eastAsia="Times New Roman" w:hAnsi="Times New Roman" w:cs="Times New Roman"/>
          <w:sz w:val="24"/>
          <w:szCs w:val="24"/>
        </w:rPr>
        <w:t>records,</w:t>
      </w:r>
      <w:r w:rsidRPr="00ED6379">
        <w:rPr>
          <w:rFonts w:ascii="Times New Roman" w:eastAsia="Times New Roman" w:hAnsi="Times New Roman" w:cs="Times New Roman"/>
          <w:sz w:val="24"/>
          <w:szCs w:val="24"/>
        </w:rPr>
        <w:t xml:space="preserve"> and other information relevant to the member’s adverse benefit determination; and </w:t>
      </w:r>
    </w:p>
    <w:p w14:paraId="7FA503DF" w14:textId="0AEE7B8B" w:rsidR="009C6187" w:rsidRDefault="009C6187" w:rsidP="00F648F9">
      <w:pPr>
        <w:pStyle w:val="NoSpacing"/>
        <w:numPr>
          <w:ilvl w:val="0"/>
          <w:numId w:val="18"/>
        </w:numPr>
        <w:rPr>
          <w:rFonts w:ascii="Times New Roman" w:eastAsia="Times New Roman" w:hAnsi="Times New Roman" w:cs="Times New Roman"/>
          <w:sz w:val="24"/>
          <w:szCs w:val="24"/>
        </w:rPr>
      </w:pPr>
      <w:r w:rsidRPr="00ED6379">
        <w:rPr>
          <w:rFonts w:ascii="Times New Roman" w:eastAsia="Times New Roman" w:hAnsi="Times New Roman" w:cs="Times New Roman"/>
          <w:sz w:val="24"/>
          <w:szCs w:val="24"/>
        </w:rPr>
        <w:t>Copies of the appropriate forms as listed in OAR 410-141-3885.</w:t>
      </w:r>
    </w:p>
    <w:p w14:paraId="7A0629C8" w14:textId="0BAEC4DC" w:rsidR="005F4EDF" w:rsidRDefault="005F4EDF" w:rsidP="00F648F9">
      <w:pPr>
        <w:pStyle w:val="NoSpacing"/>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Language Access Taglines</w:t>
      </w:r>
    </w:p>
    <w:p w14:paraId="30F85179" w14:textId="1C1C84F6" w:rsidR="005F4EDF" w:rsidRDefault="00AE15C0" w:rsidP="00F648F9">
      <w:pPr>
        <w:pStyle w:val="NoSpacing"/>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Non-discrimination Notice</w:t>
      </w:r>
    </w:p>
    <w:p w14:paraId="0D259FE5" w14:textId="7CE12EA5" w:rsidR="00AE15C0" w:rsidRPr="00ED6379" w:rsidRDefault="00FE4AFB" w:rsidP="00F648F9">
      <w:pPr>
        <w:pStyle w:val="NoSpacing"/>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Request to review a health care decision (OHP 3302)</w:t>
      </w:r>
    </w:p>
    <w:p w14:paraId="32D09705" w14:textId="5471E183" w:rsidR="00802403" w:rsidRDefault="00A311BB" w:rsidP="003C2DDA">
      <w:pPr>
        <w:pStyle w:val="NoSpacing"/>
        <w:rPr>
          <w:rFonts w:ascii="Arial" w:hAnsi="Arial" w:cs="Arial"/>
          <w:b/>
          <w:color w:val="006892"/>
          <w:sz w:val="24"/>
          <w:szCs w:val="24"/>
        </w:rPr>
      </w:pPr>
      <w:r>
        <w:rPr>
          <w:rFonts w:ascii="Times New Roman" w:eastAsia="Times New Roman" w:hAnsi="Times New Roman" w:cs="Times New Roman"/>
          <w:sz w:val="24"/>
          <w:szCs w:val="24"/>
        </w:rPr>
        <w:t xml:space="preserve"> </w:t>
      </w:r>
    </w:p>
    <w:p w14:paraId="5CB8359A" w14:textId="5DCA9F57" w:rsidR="00307DA5" w:rsidRDefault="00936B36" w:rsidP="00997FC0">
      <w:pPr>
        <w:pStyle w:val="Heading3"/>
        <w:rPr>
          <w:rFonts w:ascii="Arial" w:hAnsi="Arial" w:cs="Arial"/>
          <w:b/>
          <w:color w:val="006892"/>
        </w:rPr>
      </w:pPr>
      <w:r>
        <w:rPr>
          <w:rFonts w:ascii="Arial" w:hAnsi="Arial" w:cs="Arial"/>
          <w:b/>
          <w:color w:val="006892"/>
        </w:rPr>
        <w:t>PEER-TO-PEER CONSULTATION</w:t>
      </w:r>
    </w:p>
    <w:p w14:paraId="414FA219" w14:textId="3699AC4C" w:rsidR="00936B36" w:rsidRDefault="00630FB3" w:rsidP="00936B36">
      <w:r>
        <w:t>UHA</w:t>
      </w:r>
      <w:r w:rsidRPr="00630FB3">
        <w:t xml:space="preserve"> allow</w:t>
      </w:r>
      <w:r>
        <w:t>s</w:t>
      </w:r>
      <w:r w:rsidRPr="00630FB3">
        <w:t xml:space="preserve"> for consultation with a requesting Provider for medical services when necessary for both initial and continuing </w:t>
      </w:r>
      <w:r>
        <w:t>PA r</w:t>
      </w:r>
      <w:r w:rsidRPr="00630FB3">
        <w:t>equests</w:t>
      </w:r>
      <w:r w:rsidR="00C043F8">
        <w:t xml:space="preserve">. </w:t>
      </w:r>
      <w:r>
        <w:t xml:space="preserve"> </w:t>
      </w:r>
      <w:r w:rsidR="00E46A72" w:rsidRPr="00E46A72">
        <w:t>This can be done by calling our main line at 541</w:t>
      </w:r>
      <w:r w:rsidR="00E46A72">
        <w:t>-229-</w:t>
      </w:r>
      <w:r w:rsidR="00E46A72" w:rsidRPr="00E46A72">
        <w:t>4842, option 1</w:t>
      </w:r>
      <w:r w:rsidR="00C043F8">
        <w:t xml:space="preserve"> or by emailing </w:t>
      </w:r>
      <w:hyperlink r:id="rId30" w:history="1">
        <w:r w:rsidR="00C043F8" w:rsidRPr="00C86FF7">
          <w:rPr>
            <w:rStyle w:val="Hyperlink"/>
          </w:rPr>
          <w:t>priorauthorizations@umpquahealth.com</w:t>
        </w:r>
      </w:hyperlink>
      <w:r w:rsidR="00C043F8">
        <w:t>. Using the same contact method above, providers can schedule a</w:t>
      </w:r>
      <w:r w:rsidR="00E46A72" w:rsidRPr="00E46A72">
        <w:t xml:space="preserve"> peer-to-peer. Peer-to-peer can occur at the same time a member is in the process of appealing a </w:t>
      </w:r>
      <w:r w:rsidR="00E46A72">
        <w:t xml:space="preserve">denial. </w:t>
      </w:r>
    </w:p>
    <w:p w14:paraId="26B21DF5" w14:textId="77777777" w:rsidR="00307DA5" w:rsidRDefault="00307DA5" w:rsidP="003C2DDA">
      <w:pPr>
        <w:pStyle w:val="NoSpacing"/>
        <w:rPr>
          <w:rFonts w:ascii="Arial" w:hAnsi="Arial" w:cs="Arial"/>
          <w:b/>
          <w:color w:val="006892"/>
          <w:sz w:val="24"/>
          <w:szCs w:val="24"/>
        </w:rPr>
      </w:pPr>
    </w:p>
    <w:p w14:paraId="5DD854E6" w14:textId="5BDE51D5" w:rsidR="00D95160" w:rsidRPr="003C2DDA" w:rsidRDefault="003C2DDA" w:rsidP="00997FC0">
      <w:pPr>
        <w:pStyle w:val="Heading3"/>
        <w:rPr>
          <w:rFonts w:ascii="Arial" w:hAnsi="Arial" w:cs="Arial"/>
          <w:b/>
          <w:color w:val="006892"/>
        </w:rPr>
      </w:pPr>
      <w:r w:rsidRPr="003C2DDA">
        <w:rPr>
          <w:rFonts w:ascii="Arial" w:hAnsi="Arial" w:cs="Arial"/>
          <w:b/>
          <w:color w:val="006892"/>
        </w:rPr>
        <w:t>INCOMPLETE (</w:t>
      </w:r>
      <w:r>
        <w:rPr>
          <w:rFonts w:ascii="Arial" w:hAnsi="Arial" w:cs="Arial"/>
          <w:b/>
          <w:color w:val="006892"/>
        </w:rPr>
        <w:t>IN-</w:t>
      </w:r>
      <w:r w:rsidRPr="003C2DDA">
        <w:rPr>
          <w:rFonts w:ascii="Arial" w:hAnsi="Arial" w:cs="Arial"/>
          <w:b/>
          <w:color w:val="006892"/>
        </w:rPr>
        <w:t>VALID): MISSING INFORMATION</w:t>
      </w:r>
      <w:bookmarkEnd w:id="4"/>
    </w:p>
    <w:p w14:paraId="4F3DE1AE" w14:textId="473564AA" w:rsidR="00D95160" w:rsidRPr="000E42AC" w:rsidRDefault="003C2DDA" w:rsidP="003C2DDA">
      <w:pPr>
        <w:spacing w:after="0" w:line="240" w:lineRule="auto"/>
        <w:contextualSpacing/>
        <w:rPr>
          <w:rFonts w:cs="Times New Roman"/>
          <w:szCs w:val="24"/>
        </w:rPr>
      </w:pPr>
      <w:r>
        <w:rPr>
          <w:rFonts w:cs="Times New Roman"/>
          <w:szCs w:val="24"/>
        </w:rPr>
        <w:t xml:space="preserve">Requests will be determined valid within two days of receipt. </w:t>
      </w:r>
      <w:r w:rsidR="00D95160" w:rsidRPr="000E42AC">
        <w:rPr>
          <w:rFonts w:cs="Times New Roman"/>
          <w:szCs w:val="24"/>
        </w:rPr>
        <w:t>For the PA to be a valid submission, the following must be included:</w:t>
      </w:r>
    </w:p>
    <w:p w14:paraId="1407C028" w14:textId="47DDA586" w:rsidR="00D95160" w:rsidRPr="000E42AC" w:rsidRDefault="00D95160" w:rsidP="00F648F9">
      <w:pPr>
        <w:numPr>
          <w:ilvl w:val="1"/>
          <w:numId w:val="1"/>
        </w:numPr>
        <w:spacing w:after="0" w:line="240" w:lineRule="auto"/>
        <w:contextualSpacing/>
        <w:rPr>
          <w:rFonts w:cs="Times New Roman"/>
        </w:rPr>
      </w:pPr>
      <w:r w:rsidRPr="269A924D">
        <w:rPr>
          <w:rFonts w:cs="Times New Roman"/>
        </w:rPr>
        <w:t>Current CPT/HCPC code(s</w:t>
      </w:r>
      <w:r w:rsidR="00EE1766" w:rsidRPr="269A924D">
        <w:rPr>
          <w:rFonts w:cs="Times New Roman"/>
        </w:rPr>
        <w:t>).</w:t>
      </w:r>
      <w:r w:rsidRPr="269A924D">
        <w:rPr>
          <w:rFonts w:cs="Times New Roman"/>
        </w:rPr>
        <w:t xml:space="preserve"> </w:t>
      </w:r>
    </w:p>
    <w:p w14:paraId="0863803F" w14:textId="071162A9" w:rsidR="00D95160" w:rsidRPr="000E42AC" w:rsidRDefault="00D95160" w:rsidP="00F648F9">
      <w:pPr>
        <w:numPr>
          <w:ilvl w:val="1"/>
          <w:numId w:val="1"/>
        </w:numPr>
        <w:spacing w:after="0" w:line="240" w:lineRule="auto"/>
        <w:contextualSpacing/>
        <w:rPr>
          <w:rFonts w:cs="Times New Roman"/>
          <w:szCs w:val="24"/>
        </w:rPr>
      </w:pPr>
      <w:r w:rsidRPr="000E42AC">
        <w:rPr>
          <w:rFonts w:cs="Times New Roman"/>
          <w:szCs w:val="24"/>
        </w:rPr>
        <w:t>Current ICD-10 Diagnosis code(s</w:t>
      </w:r>
      <w:r w:rsidR="00EE1766" w:rsidRPr="000E42AC">
        <w:rPr>
          <w:rFonts w:cs="Times New Roman"/>
          <w:szCs w:val="24"/>
        </w:rPr>
        <w:t>).</w:t>
      </w:r>
    </w:p>
    <w:p w14:paraId="6C3BAFD3" w14:textId="77777777" w:rsidR="00D95160" w:rsidRPr="000E42AC" w:rsidRDefault="00D95160" w:rsidP="00F648F9">
      <w:pPr>
        <w:numPr>
          <w:ilvl w:val="1"/>
          <w:numId w:val="1"/>
        </w:numPr>
        <w:spacing w:after="0" w:line="240" w:lineRule="auto"/>
        <w:contextualSpacing/>
        <w:rPr>
          <w:rFonts w:cs="Times New Roman"/>
          <w:szCs w:val="24"/>
        </w:rPr>
      </w:pPr>
      <w:r w:rsidRPr="000E42AC">
        <w:rPr>
          <w:rFonts w:cs="Times New Roman"/>
          <w:szCs w:val="24"/>
        </w:rPr>
        <w:t>Referring Provider; and</w:t>
      </w:r>
    </w:p>
    <w:p w14:paraId="48D521AC" w14:textId="66639EAE" w:rsidR="00D95160" w:rsidRDefault="00D95160" w:rsidP="00F648F9">
      <w:pPr>
        <w:numPr>
          <w:ilvl w:val="1"/>
          <w:numId w:val="1"/>
        </w:numPr>
        <w:spacing w:after="0" w:line="240" w:lineRule="auto"/>
        <w:contextualSpacing/>
        <w:rPr>
          <w:rFonts w:cs="Times New Roman"/>
          <w:szCs w:val="24"/>
        </w:rPr>
      </w:pPr>
      <w:r w:rsidRPr="000E42AC">
        <w:rPr>
          <w:rFonts w:cs="Times New Roman"/>
          <w:szCs w:val="24"/>
        </w:rPr>
        <w:t>Delivering Provider (facility for procedures, rendering provider for referrals).</w:t>
      </w:r>
    </w:p>
    <w:p w14:paraId="16CB59A6" w14:textId="123AE004" w:rsidR="003C2DDA" w:rsidRDefault="003C2DDA" w:rsidP="003C2DDA">
      <w:pPr>
        <w:spacing w:after="0" w:line="240" w:lineRule="auto"/>
        <w:contextualSpacing/>
        <w:rPr>
          <w:rFonts w:cs="Times New Roman"/>
          <w:szCs w:val="24"/>
        </w:rPr>
      </w:pPr>
    </w:p>
    <w:p w14:paraId="234719A4" w14:textId="33E8B39B" w:rsidR="00D95160" w:rsidRDefault="003C2DDA" w:rsidP="003C2DDA">
      <w:pPr>
        <w:spacing w:after="0" w:line="240" w:lineRule="auto"/>
        <w:contextualSpacing/>
        <w:rPr>
          <w:rFonts w:cs="Times New Roman"/>
          <w:szCs w:val="24"/>
        </w:rPr>
      </w:pPr>
      <w:r>
        <w:rPr>
          <w:rFonts w:cs="Times New Roman"/>
          <w:szCs w:val="24"/>
        </w:rPr>
        <w:t>A Utilization Review Specialist (URS) will review the request. If the request is invalid, a URS will attempt to obtain the missing/incomplete information in three</w:t>
      </w:r>
      <w:r w:rsidR="005A19D8">
        <w:rPr>
          <w:rFonts w:cs="Times New Roman"/>
          <w:szCs w:val="24"/>
        </w:rPr>
        <w:t xml:space="preserve"> (3)</w:t>
      </w:r>
      <w:r>
        <w:rPr>
          <w:rFonts w:cs="Times New Roman"/>
          <w:szCs w:val="24"/>
        </w:rPr>
        <w:t xml:space="preserve"> attempts, in two </w:t>
      </w:r>
      <w:r w:rsidR="005A19D8">
        <w:rPr>
          <w:rFonts w:cs="Times New Roman"/>
          <w:szCs w:val="24"/>
        </w:rPr>
        <w:t xml:space="preserve">(2) </w:t>
      </w:r>
      <w:r>
        <w:rPr>
          <w:rFonts w:cs="Times New Roman"/>
          <w:szCs w:val="24"/>
        </w:rPr>
        <w:t xml:space="preserve">different modes (fax/email/phone). The request will be loaded into CIM for tracking and documentation and placed in the Additional Information queue. </w:t>
      </w:r>
      <w:r w:rsidR="00D95160" w:rsidRPr="003C2DDA">
        <w:rPr>
          <w:rFonts w:cs="Times New Roman"/>
          <w:szCs w:val="24"/>
        </w:rPr>
        <w:t xml:space="preserve">If needed, use dump code “ExReq” for missing diagnosis (Dx) or procedure codes. </w:t>
      </w:r>
    </w:p>
    <w:p w14:paraId="3205F563" w14:textId="1FF0290F" w:rsidR="003C2DDA" w:rsidRDefault="003C2DDA" w:rsidP="003C2DDA">
      <w:pPr>
        <w:spacing w:after="0" w:line="240" w:lineRule="auto"/>
        <w:contextualSpacing/>
        <w:rPr>
          <w:rFonts w:cs="Times New Roman"/>
          <w:szCs w:val="24"/>
        </w:rPr>
      </w:pPr>
    </w:p>
    <w:p w14:paraId="5B63EFC0" w14:textId="02EF0F54" w:rsidR="003C2DDA" w:rsidRPr="000E42AC" w:rsidRDefault="003C2DDA" w:rsidP="003C2DDA">
      <w:pPr>
        <w:spacing w:after="0" w:line="240" w:lineRule="auto"/>
        <w:contextualSpacing/>
        <w:rPr>
          <w:rFonts w:cs="Times New Roman"/>
          <w:szCs w:val="24"/>
        </w:rPr>
      </w:pPr>
      <w:r>
        <w:rPr>
          <w:rFonts w:cs="Times New Roman"/>
          <w:szCs w:val="24"/>
        </w:rPr>
        <w:t xml:space="preserve">These requests will be dismissed and will require a new submission for review. </w:t>
      </w:r>
    </w:p>
    <w:p w14:paraId="79AF63EB" w14:textId="3E6BC56E" w:rsidR="00D95160" w:rsidRPr="000E42AC" w:rsidRDefault="00D95160" w:rsidP="00D95160">
      <w:pPr>
        <w:spacing w:after="0" w:line="240" w:lineRule="auto"/>
        <w:ind w:left="720"/>
        <w:rPr>
          <w:rFonts w:cs="Times New Roman"/>
          <w:szCs w:val="24"/>
        </w:rPr>
      </w:pPr>
      <w:r w:rsidRPr="000E42AC">
        <w:rPr>
          <w:rFonts w:cs="Times New Roman"/>
          <w:szCs w:val="24"/>
        </w:rPr>
        <w:t xml:space="preserve"> </w:t>
      </w:r>
    </w:p>
    <w:p w14:paraId="5899292D" w14:textId="53C8C005" w:rsidR="00D95160" w:rsidRPr="00997FC0" w:rsidRDefault="003C2DDA" w:rsidP="00806CC8">
      <w:pPr>
        <w:pStyle w:val="Heading3"/>
        <w:rPr>
          <w:rFonts w:ascii="Arial" w:hAnsi="Arial" w:cs="Arial"/>
          <w:b/>
          <w:color w:val="006892"/>
        </w:rPr>
      </w:pPr>
      <w:bookmarkStart w:id="5" w:name="_Toc73117738"/>
      <w:r w:rsidRPr="00997FC0">
        <w:rPr>
          <w:rFonts w:ascii="Arial" w:hAnsi="Arial" w:cs="Arial"/>
          <w:b/>
          <w:color w:val="006892"/>
        </w:rPr>
        <w:t>INCOMPLETE (VALID): SUPPORTING DOCUMENTATION</w:t>
      </w:r>
      <w:bookmarkEnd w:id="5"/>
    </w:p>
    <w:p w14:paraId="51D66FB3" w14:textId="3FEB4696" w:rsidR="00D95160" w:rsidRDefault="003C2DDA" w:rsidP="003C2DDA">
      <w:pPr>
        <w:spacing w:after="0" w:line="240" w:lineRule="auto"/>
        <w:contextualSpacing/>
        <w:rPr>
          <w:rFonts w:cs="Times New Roman"/>
          <w:szCs w:val="24"/>
        </w:rPr>
      </w:pPr>
      <w:r>
        <w:rPr>
          <w:rFonts w:cs="Times New Roman"/>
          <w:szCs w:val="24"/>
        </w:rPr>
        <w:t xml:space="preserve">A Utilization Review Specialist (URS) will review the request. If the request is valid, but was not requested with supporting documentation, chart notes, etc. a URS will attempt to obtain the missing/incomplete documentation in three attempts, in two different modes (fax/email/phone). The request will be loaded into CIM for tracking and documentation and placed in the Additional Information queue. </w:t>
      </w:r>
      <w:r w:rsidR="00D95160" w:rsidRPr="000E42AC">
        <w:rPr>
          <w:rFonts w:cs="Times New Roman"/>
          <w:szCs w:val="24"/>
        </w:rPr>
        <w:t xml:space="preserve">If the information is not obtained after </w:t>
      </w:r>
      <w:r>
        <w:rPr>
          <w:rFonts w:cs="Times New Roman"/>
          <w:szCs w:val="24"/>
        </w:rPr>
        <w:t>three</w:t>
      </w:r>
      <w:r w:rsidR="00D95160" w:rsidRPr="000E42AC">
        <w:rPr>
          <w:rFonts w:cs="Times New Roman"/>
          <w:szCs w:val="24"/>
        </w:rPr>
        <w:t xml:space="preserve"> attempts within 10 days, URS will then route the PA to the appropriate UM queue. </w:t>
      </w:r>
      <w:r>
        <w:rPr>
          <w:rFonts w:cs="Times New Roman"/>
          <w:szCs w:val="24"/>
        </w:rPr>
        <w:t xml:space="preserve">A Utilization Review Coordinator (URC) will then </w:t>
      </w:r>
      <w:proofErr w:type="gramStart"/>
      <w:r>
        <w:rPr>
          <w:rFonts w:cs="Times New Roman"/>
          <w:szCs w:val="24"/>
        </w:rPr>
        <w:t>make a determination</w:t>
      </w:r>
      <w:proofErr w:type="gramEnd"/>
      <w:r>
        <w:rPr>
          <w:rFonts w:cs="Times New Roman"/>
          <w:szCs w:val="24"/>
        </w:rPr>
        <w:t xml:space="preserve"> without the requested notes and likely lead to a denial of services until a new submission can be sent.</w:t>
      </w:r>
    </w:p>
    <w:p w14:paraId="3FFFC867" w14:textId="52B7DE13" w:rsidR="003366BD" w:rsidRDefault="003366BD" w:rsidP="003C2DDA">
      <w:pPr>
        <w:spacing w:after="0" w:line="240" w:lineRule="auto"/>
        <w:contextualSpacing/>
        <w:rPr>
          <w:rFonts w:cs="Times New Roman"/>
          <w:szCs w:val="24"/>
        </w:rPr>
      </w:pPr>
    </w:p>
    <w:p w14:paraId="72CF63C1" w14:textId="52F22911" w:rsidR="003366BD" w:rsidRDefault="003366BD" w:rsidP="003C2DDA">
      <w:pPr>
        <w:spacing w:after="0" w:line="240" w:lineRule="auto"/>
        <w:contextualSpacing/>
        <w:rPr>
          <w:rFonts w:cs="Times New Roman"/>
          <w:szCs w:val="24"/>
        </w:rPr>
      </w:pPr>
      <w:r>
        <w:rPr>
          <w:rFonts w:cs="Times New Roman"/>
          <w:szCs w:val="24"/>
        </w:rPr>
        <w:t>If the documentation is received,</w:t>
      </w:r>
      <w:r w:rsidR="004068E8">
        <w:rPr>
          <w:rFonts w:cs="Times New Roman"/>
          <w:szCs w:val="24"/>
        </w:rPr>
        <w:t xml:space="preserve"> a determination will be made within three (3) days. Additionally, </w:t>
      </w:r>
      <w:r w:rsidR="00F827B1">
        <w:rPr>
          <w:rFonts w:cs="Times New Roman"/>
          <w:szCs w:val="24"/>
        </w:rPr>
        <w:t>c</w:t>
      </w:r>
      <w:r w:rsidR="00F827B1" w:rsidRPr="00F827B1">
        <w:rPr>
          <w:rFonts w:cs="Times New Roman"/>
          <w:szCs w:val="24"/>
        </w:rPr>
        <w:t xml:space="preserve">linical and support staff </w:t>
      </w:r>
      <w:r w:rsidR="00E522FB">
        <w:rPr>
          <w:rFonts w:cs="Times New Roman"/>
          <w:szCs w:val="24"/>
        </w:rPr>
        <w:t>may</w:t>
      </w:r>
      <w:r w:rsidR="00F827B1" w:rsidRPr="00F827B1">
        <w:rPr>
          <w:rFonts w:cs="Times New Roman"/>
          <w:szCs w:val="24"/>
        </w:rPr>
        <w:t xml:space="preserve"> consult with the requesting provider, </w:t>
      </w:r>
      <w:r w:rsidR="00E522FB">
        <w:rPr>
          <w:rFonts w:cs="Times New Roman"/>
          <w:szCs w:val="24"/>
        </w:rPr>
        <w:t>when appropriate</w:t>
      </w:r>
      <w:r w:rsidR="00F827B1" w:rsidRPr="00F827B1">
        <w:rPr>
          <w:rFonts w:cs="Times New Roman"/>
          <w:szCs w:val="24"/>
        </w:rPr>
        <w:t>.</w:t>
      </w:r>
      <w:r>
        <w:rPr>
          <w:rFonts w:cs="Times New Roman"/>
          <w:szCs w:val="24"/>
        </w:rPr>
        <w:t xml:space="preserve"> </w:t>
      </w:r>
    </w:p>
    <w:p w14:paraId="2432BA2C" w14:textId="77777777" w:rsidR="003C2DDA" w:rsidRPr="003C2DDA" w:rsidRDefault="003C2DDA" w:rsidP="003C2DDA">
      <w:pPr>
        <w:spacing w:after="0" w:line="240" w:lineRule="auto"/>
        <w:contextualSpacing/>
        <w:rPr>
          <w:rFonts w:cs="Times New Roman"/>
          <w:szCs w:val="24"/>
        </w:rPr>
      </w:pPr>
    </w:p>
    <w:p w14:paraId="41498B58" w14:textId="26110CB6" w:rsidR="00E5039A" w:rsidRPr="00997FC0" w:rsidRDefault="00762767" w:rsidP="003C2DDA">
      <w:pPr>
        <w:pStyle w:val="Heading3"/>
        <w:rPr>
          <w:rFonts w:ascii="Arial" w:hAnsi="Arial" w:cs="Arial"/>
          <w:b/>
          <w:color w:val="006892"/>
        </w:rPr>
      </w:pPr>
      <w:r w:rsidRPr="00997FC0">
        <w:rPr>
          <w:rFonts w:ascii="Arial" w:hAnsi="Arial" w:cs="Arial"/>
          <w:b/>
          <w:color w:val="006892"/>
        </w:rPr>
        <w:t>SPECIAL FINANCIAL ARRANGEMENTS (SFA) AND SINGLE CASE AGREEMENTS (SCA)</w:t>
      </w:r>
    </w:p>
    <w:p w14:paraId="4466C5FC" w14:textId="5CCCE160" w:rsidR="00E5039A" w:rsidRPr="000E42AC" w:rsidRDefault="003C2DDA" w:rsidP="003C2DDA">
      <w:pPr>
        <w:autoSpaceDE w:val="0"/>
        <w:autoSpaceDN w:val="0"/>
        <w:adjustRightInd w:val="0"/>
        <w:spacing w:after="0" w:line="240" w:lineRule="auto"/>
        <w:contextualSpacing/>
        <w:rPr>
          <w:rFonts w:cs="Times New Roman"/>
          <w:color w:val="000000"/>
          <w:szCs w:val="24"/>
        </w:rPr>
      </w:pPr>
      <w:r>
        <w:rPr>
          <w:rFonts w:cs="Times New Roman"/>
          <w:color w:val="000000"/>
          <w:szCs w:val="24"/>
        </w:rPr>
        <w:t>All provider requests for Single Case Agreements must be made at the time of the prior authorization request. This can be indicated on the PA Form with the listed rate (OON) or in the comment field of the request made in CIM. Additionally, i</w:t>
      </w:r>
      <w:r w:rsidR="00E5039A" w:rsidRPr="000E42AC">
        <w:rPr>
          <w:rFonts w:cs="Times New Roman"/>
          <w:color w:val="000000"/>
          <w:szCs w:val="24"/>
        </w:rPr>
        <w:t xml:space="preserve">f a service or item is not on the DMAP fee schedule, or the provider is requesting a rate higher than the DMAP, URS ensure this price is listed in the max cost field and “SFA” or “SCA” as applicable are indicated in the Comments field. </w:t>
      </w:r>
    </w:p>
    <w:p w14:paraId="05ABDA1B" w14:textId="52F9A9DA" w:rsidR="00E5039A" w:rsidRPr="000E42AC" w:rsidRDefault="00E5039A" w:rsidP="00F648F9">
      <w:pPr>
        <w:numPr>
          <w:ilvl w:val="2"/>
          <w:numId w:val="2"/>
        </w:numPr>
        <w:autoSpaceDE w:val="0"/>
        <w:autoSpaceDN w:val="0"/>
        <w:adjustRightInd w:val="0"/>
        <w:spacing w:after="0" w:line="240" w:lineRule="auto"/>
        <w:contextualSpacing/>
        <w:rPr>
          <w:rFonts w:cs="Times New Roman"/>
          <w:color w:val="000000"/>
          <w:szCs w:val="24"/>
        </w:rPr>
      </w:pPr>
      <w:r w:rsidRPr="000E42AC">
        <w:rPr>
          <w:rFonts w:cs="Times New Roman"/>
          <w:color w:val="000000"/>
          <w:szCs w:val="24"/>
        </w:rPr>
        <w:t xml:space="preserve">SFA: See DME, Prosthetic/Orthotic, Audiology, Vision, etc. </w:t>
      </w:r>
    </w:p>
    <w:p w14:paraId="4EF5FEB7" w14:textId="6F3E0AB1" w:rsidR="00E5039A" w:rsidRPr="000E42AC" w:rsidRDefault="00E5039A" w:rsidP="00F648F9">
      <w:pPr>
        <w:numPr>
          <w:ilvl w:val="2"/>
          <w:numId w:val="2"/>
        </w:numPr>
        <w:autoSpaceDE w:val="0"/>
        <w:autoSpaceDN w:val="0"/>
        <w:adjustRightInd w:val="0"/>
        <w:spacing w:after="0" w:line="240" w:lineRule="auto"/>
        <w:contextualSpacing/>
        <w:rPr>
          <w:rFonts w:cs="Times New Roman"/>
          <w:color w:val="000000"/>
          <w:szCs w:val="24"/>
        </w:rPr>
      </w:pPr>
      <w:r w:rsidRPr="000E42AC">
        <w:rPr>
          <w:rFonts w:cs="Times New Roman"/>
          <w:color w:val="000000"/>
          <w:szCs w:val="24"/>
        </w:rPr>
        <w:t>SCA: OON IP stays (</w:t>
      </w:r>
      <w:r w:rsidR="00EE1766" w:rsidRPr="000E42AC">
        <w:rPr>
          <w:rFonts w:cs="Times New Roman"/>
          <w:color w:val="000000"/>
          <w:szCs w:val="24"/>
        </w:rPr>
        <w:t>i.e.,</w:t>
      </w:r>
      <w:r w:rsidRPr="000E42AC">
        <w:rPr>
          <w:rFonts w:cs="Times New Roman"/>
          <w:color w:val="000000"/>
          <w:szCs w:val="24"/>
        </w:rPr>
        <w:t xml:space="preserve"> SNF, Hospitalization, BH Res/IP, </w:t>
      </w:r>
      <w:r w:rsidR="00B445BD" w:rsidRPr="000E42AC">
        <w:rPr>
          <w:rFonts w:cs="Times New Roman"/>
          <w:color w:val="000000"/>
          <w:szCs w:val="24"/>
        </w:rPr>
        <w:t>etc.</w:t>
      </w:r>
      <w:r w:rsidRPr="000E42AC">
        <w:rPr>
          <w:rFonts w:cs="Times New Roman"/>
          <w:color w:val="000000"/>
          <w:szCs w:val="24"/>
        </w:rPr>
        <w:t>)</w:t>
      </w:r>
    </w:p>
    <w:p w14:paraId="0A6A07BD" w14:textId="77777777" w:rsidR="003C2DDA" w:rsidRDefault="003C2DDA" w:rsidP="003C2DDA">
      <w:pPr>
        <w:autoSpaceDE w:val="0"/>
        <w:autoSpaceDN w:val="0"/>
        <w:adjustRightInd w:val="0"/>
        <w:spacing w:after="0" w:line="240" w:lineRule="auto"/>
        <w:contextualSpacing/>
        <w:rPr>
          <w:rFonts w:cs="Times New Roman"/>
          <w:color w:val="000000"/>
          <w:szCs w:val="24"/>
        </w:rPr>
      </w:pPr>
    </w:p>
    <w:p w14:paraId="147159F6" w14:textId="1DA5D3E4" w:rsidR="007B7E26" w:rsidRPr="000E42AC" w:rsidRDefault="003C2DDA" w:rsidP="00792467">
      <w:pPr>
        <w:autoSpaceDE w:val="0"/>
        <w:autoSpaceDN w:val="0"/>
        <w:adjustRightInd w:val="0"/>
        <w:spacing w:after="0" w:line="240" w:lineRule="auto"/>
        <w:contextualSpacing/>
        <w:rPr>
          <w:rFonts w:cs="Times New Roman"/>
          <w:color w:val="000000"/>
          <w:szCs w:val="24"/>
        </w:rPr>
      </w:pPr>
      <w:r>
        <w:rPr>
          <w:rFonts w:cs="Times New Roman"/>
          <w:color w:val="000000"/>
          <w:szCs w:val="24"/>
        </w:rPr>
        <w:t xml:space="preserve">SCA’s will not be allowed for in-network providers. If a higher rate is </w:t>
      </w:r>
      <w:r w:rsidR="00792467" w:rsidRPr="000E42AC">
        <w:rPr>
          <w:rFonts w:cs="Times New Roman"/>
          <w:color w:val="000000"/>
          <w:szCs w:val="24"/>
        </w:rPr>
        <w:t>indicating</w:t>
      </w:r>
      <w:r w:rsidR="007B7E26" w:rsidRPr="000E42AC">
        <w:rPr>
          <w:rFonts w:cs="Times New Roman"/>
          <w:color w:val="000000"/>
          <w:szCs w:val="24"/>
        </w:rPr>
        <w:t xml:space="preserve"> an amount in the max cost field</w:t>
      </w:r>
      <w:r w:rsidR="00792467">
        <w:rPr>
          <w:rFonts w:cs="Times New Roman"/>
          <w:color w:val="000000"/>
          <w:szCs w:val="24"/>
        </w:rPr>
        <w:t xml:space="preserve">, </w:t>
      </w:r>
      <w:r w:rsidR="007B7E26" w:rsidRPr="000E42AC">
        <w:rPr>
          <w:rFonts w:cs="Times New Roman"/>
          <w:color w:val="000000"/>
          <w:szCs w:val="24"/>
        </w:rPr>
        <w:t>URS will</w:t>
      </w:r>
      <w:r w:rsidR="00792467">
        <w:rPr>
          <w:rFonts w:cs="Times New Roman"/>
          <w:color w:val="000000"/>
          <w:szCs w:val="24"/>
        </w:rPr>
        <w:t xml:space="preserve"> d</w:t>
      </w:r>
      <w:r w:rsidR="007B7E26" w:rsidRPr="000E42AC">
        <w:rPr>
          <w:rFonts w:cs="Times New Roman"/>
          <w:color w:val="000000"/>
          <w:szCs w:val="24"/>
        </w:rPr>
        <w:t>etermine if the request has a DMAP fee or contracted rate.</w:t>
      </w:r>
      <w:r w:rsidR="00792467">
        <w:rPr>
          <w:rFonts w:cs="Times New Roman"/>
          <w:color w:val="000000"/>
          <w:szCs w:val="24"/>
        </w:rPr>
        <w:t xml:space="preserve"> If so, they will remove this amount and send the provider a notice stating their contracted rate. If there is not an established rate, the request will be processed as an SFA request</w:t>
      </w:r>
      <w:r w:rsidR="00EE1766">
        <w:rPr>
          <w:rFonts w:cs="Times New Roman"/>
          <w:color w:val="000000"/>
          <w:szCs w:val="24"/>
        </w:rPr>
        <w:t xml:space="preserve">. </w:t>
      </w:r>
    </w:p>
    <w:p w14:paraId="20D150F2" w14:textId="67527FE7" w:rsidR="00792467" w:rsidRDefault="00792467" w:rsidP="00762767">
      <w:pPr>
        <w:contextualSpacing/>
      </w:pPr>
      <w:bookmarkStart w:id="6" w:name="_Toc73117749"/>
    </w:p>
    <w:p w14:paraId="406CEA84" w14:textId="358DD437" w:rsidR="00762767" w:rsidRPr="00997FC0" w:rsidRDefault="00762767" w:rsidP="00762767">
      <w:pPr>
        <w:pStyle w:val="Heading3"/>
        <w:rPr>
          <w:rFonts w:ascii="Arial" w:hAnsi="Arial" w:cs="Arial"/>
          <w:b/>
          <w:color w:val="006892"/>
        </w:rPr>
      </w:pPr>
      <w:r w:rsidRPr="00997FC0">
        <w:rPr>
          <w:rFonts w:ascii="Arial" w:hAnsi="Arial" w:cs="Arial"/>
          <w:b/>
          <w:color w:val="006892"/>
        </w:rPr>
        <w:lastRenderedPageBreak/>
        <w:t>CIM STATUS</w:t>
      </w:r>
    </w:p>
    <w:tbl>
      <w:tblPr>
        <w:tblStyle w:val="TableGrid"/>
        <w:tblW w:w="0" w:type="auto"/>
        <w:tblLook w:val="04A0" w:firstRow="1" w:lastRow="0" w:firstColumn="1" w:lastColumn="0" w:noHBand="0" w:noVBand="1"/>
      </w:tblPr>
      <w:tblGrid>
        <w:gridCol w:w="3417"/>
        <w:gridCol w:w="3058"/>
        <w:gridCol w:w="3777"/>
        <w:gridCol w:w="3418"/>
      </w:tblGrid>
      <w:tr w:rsidR="00762767" w14:paraId="56EAC05F" w14:textId="77777777" w:rsidTr="007563D2">
        <w:tc>
          <w:tcPr>
            <w:tcW w:w="3417" w:type="dxa"/>
            <w:shd w:val="clear" w:color="auto" w:fill="25708B"/>
          </w:tcPr>
          <w:p w14:paraId="53CA5B7E" w14:textId="0D6642C6" w:rsidR="00762767" w:rsidRPr="00762767" w:rsidRDefault="00762767" w:rsidP="00762767">
            <w:pPr>
              <w:jc w:val="center"/>
              <w:rPr>
                <w:b/>
                <w:bCs/>
                <w:color w:val="FFFFFF" w:themeColor="background1"/>
              </w:rPr>
            </w:pPr>
            <w:r w:rsidRPr="00762767">
              <w:rPr>
                <w:b/>
                <w:bCs/>
                <w:color w:val="FFFFFF" w:themeColor="background1"/>
              </w:rPr>
              <w:t>Status name (</w:t>
            </w:r>
            <w:r>
              <w:rPr>
                <w:b/>
                <w:bCs/>
                <w:color w:val="FFFFFF" w:themeColor="background1"/>
              </w:rPr>
              <w:t>q</w:t>
            </w:r>
            <w:r w:rsidRPr="00762767">
              <w:rPr>
                <w:b/>
                <w:bCs/>
                <w:color w:val="FFFFFF" w:themeColor="background1"/>
              </w:rPr>
              <w:t>ueue)</w:t>
            </w:r>
          </w:p>
        </w:tc>
        <w:tc>
          <w:tcPr>
            <w:tcW w:w="3058" w:type="dxa"/>
            <w:shd w:val="clear" w:color="auto" w:fill="25708B"/>
          </w:tcPr>
          <w:p w14:paraId="1524CD76" w14:textId="71ABFC68" w:rsidR="00762767" w:rsidRPr="00762767" w:rsidRDefault="00762767" w:rsidP="00762767">
            <w:pPr>
              <w:jc w:val="center"/>
              <w:rPr>
                <w:b/>
                <w:bCs/>
                <w:color w:val="FFFFFF" w:themeColor="background1"/>
              </w:rPr>
            </w:pPr>
            <w:r w:rsidRPr="00762767">
              <w:rPr>
                <w:b/>
                <w:bCs/>
                <w:color w:val="FFFFFF" w:themeColor="background1"/>
              </w:rPr>
              <w:t>Status meaning</w:t>
            </w:r>
          </w:p>
        </w:tc>
        <w:tc>
          <w:tcPr>
            <w:tcW w:w="3777" w:type="dxa"/>
            <w:shd w:val="clear" w:color="auto" w:fill="25708B"/>
          </w:tcPr>
          <w:p w14:paraId="3FEAF5CB" w14:textId="1AB3576D" w:rsidR="00762767" w:rsidRDefault="00762767" w:rsidP="00762767">
            <w:pPr>
              <w:jc w:val="center"/>
            </w:pPr>
            <w:r w:rsidRPr="00762767">
              <w:rPr>
                <w:b/>
                <w:bCs/>
                <w:color w:val="FFFFFF" w:themeColor="background1"/>
              </w:rPr>
              <w:t>Status name (</w:t>
            </w:r>
            <w:r>
              <w:rPr>
                <w:b/>
                <w:bCs/>
                <w:color w:val="FFFFFF" w:themeColor="background1"/>
              </w:rPr>
              <w:t>q</w:t>
            </w:r>
            <w:r w:rsidRPr="00762767">
              <w:rPr>
                <w:b/>
                <w:bCs/>
                <w:color w:val="FFFFFF" w:themeColor="background1"/>
              </w:rPr>
              <w:t>ueue)</w:t>
            </w:r>
          </w:p>
        </w:tc>
        <w:tc>
          <w:tcPr>
            <w:tcW w:w="3418" w:type="dxa"/>
            <w:shd w:val="clear" w:color="auto" w:fill="25708B"/>
          </w:tcPr>
          <w:p w14:paraId="33E442FD" w14:textId="72F75020" w:rsidR="00762767" w:rsidRDefault="00762767" w:rsidP="00762767">
            <w:pPr>
              <w:jc w:val="center"/>
            </w:pPr>
            <w:r w:rsidRPr="00762767">
              <w:rPr>
                <w:b/>
                <w:bCs/>
                <w:color w:val="FFFFFF" w:themeColor="background1"/>
              </w:rPr>
              <w:t>Status meaning</w:t>
            </w:r>
          </w:p>
        </w:tc>
      </w:tr>
      <w:tr w:rsidR="007563D2" w14:paraId="5681C57B" w14:textId="77777777" w:rsidTr="007563D2">
        <w:tc>
          <w:tcPr>
            <w:tcW w:w="3417" w:type="dxa"/>
          </w:tcPr>
          <w:p w14:paraId="06E2DBE6" w14:textId="5C24C17E" w:rsidR="007563D2" w:rsidRDefault="007563D2" w:rsidP="007563D2">
            <w:r>
              <w:t>Received</w:t>
            </w:r>
          </w:p>
        </w:tc>
        <w:tc>
          <w:tcPr>
            <w:tcW w:w="3058" w:type="dxa"/>
          </w:tcPr>
          <w:p w14:paraId="481AC2CC" w14:textId="2E0CB2F6" w:rsidR="007563D2" w:rsidRDefault="007563D2" w:rsidP="007563D2">
            <w:r>
              <w:t>Pending, Submission successful, not yet reviewed</w:t>
            </w:r>
          </w:p>
        </w:tc>
        <w:tc>
          <w:tcPr>
            <w:tcW w:w="3777" w:type="dxa"/>
          </w:tcPr>
          <w:p w14:paraId="45AFE772" w14:textId="0F6A4A5A" w:rsidR="007563D2" w:rsidRDefault="007563D2" w:rsidP="007563D2">
            <w:r>
              <w:t>Dismissed</w:t>
            </w:r>
          </w:p>
        </w:tc>
        <w:tc>
          <w:tcPr>
            <w:tcW w:w="3418" w:type="dxa"/>
          </w:tcPr>
          <w:p w14:paraId="084EEA5E" w14:textId="7BB30AE6" w:rsidR="007563D2" w:rsidRDefault="007563D2" w:rsidP="007563D2">
            <w:r>
              <w:t>Final, request was a duplicate, error, or invalid. See cancelation notice in the attached documents link</w:t>
            </w:r>
          </w:p>
        </w:tc>
      </w:tr>
      <w:tr w:rsidR="007563D2" w14:paraId="78CD365B" w14:textId="77777777" w:rsidTr="007563D2">
        <w:tc>
          <w:tcPr>
            <w:tcW w:w="3417" w:type="dxa"/>
          </w:tcPr>
          <w:p w14:paraId="595C9E97" w14:textId="7A42214B" w:rsidR="007563D2" w:rsidRDefault="007563D2" w:rsidP="007563D2">
            <w:r>
              <w:t>Additional info requested</w:t>
            </w:r>
          </w:p>
        </w:tc>
        <w:tc>
          <w:tcPr>
            <w:tcW w:w="3058" w:type="dxa"/>
          </w:tcPr>
          <w:p w14:paraId="513CDD79" w14:textId="5604289D" w:rsidR="007563D2" w:rsidRDefault="007563D2" w:rsidP="007563D2">
            <w:r>
              <w:t>Pending, UHA needs more information, check the Notes and/or communications for needed updates</w:t>
            </w:r>
          </w:p>
        </w:tc>
        <w:tc>
          <w:tcPr>
            <w:tcW w:w="3777" w:type="dxa"/>
          </w:tcPr>
          <w:p w14:paraId="270943E6" w14:textId="1EB62034" w:rsidR="007563D2" w:rsidRDefault="007563D2" w:rsidP="007563D2">
            <w:r>
              <w:t>Withdrawn</w:t>
            </w:r>
          </w:p>
        </w:tc>
        <w:tc>
          <w:tcPr>
            <w:tcW w:w="3418" w:type="dxa"/>
          </w:tcPr>
          <w:p w14:paraId="297E9956" w14:textId="4BFE2E1A" w:rsidR="007563D2" w:rsidRDefault="007563D2" w:rsidP="007563D2">
            <w:r>
              <w:t>Final, submitter/office requested the PA to be canceled. See cancelation notice in the attached documents link.</w:t>
            </w:r>
          </w:p>
        </w:tc>
      </w:tr>
      <w:tr w:rsidR="007563D2" w14:paraId="72BD851C" w14:textId="77777777" w:rsidTr="007563D2">
        <w:tc>
          <w:tcPr>
            <w:tcW w:w="3417" w:type="dxa"/>
          </w:tcPr>
          <w:p w14:paraId="1B45E449" w14:textId="7896FE4D" w:rsidR="007563D2" w:rsidRDefault="007563D2" w:rsidP="007563D2">
            <w:r>
              <w:t>Support Specialist 1-16</w:t>
            </w:r>
          </w:p>
        </w:tc>
        <w:tc>
          <w:tcPr>
            <w:tcW w:w="3058" w:type="dxa"/>
          </w:tcPr>
          <w:p w14:paraId="63537B84" w14:textId="53A6C60F" w:rsidR="007563D2" w:rsidRDefault="007563D2" w:rsidP="007563D2">
            <w:r>
              <w:t xml:space="preserve">Pending, request is being validated. Not yet to review. </w:t>
            </w:r>
          </w:p>
        </w:tc>
        <w:tc>
          <w:tcPr>
            <w:tcW w:w="3777" w:type="dxa"/>
          </w:tcPr>
          <w:p w14:paraId="14B65D3C" w14:textId="077B2626" w:rsidR="007563D2" w:rsidRDefault="007563D2" w:rsidP="007563D2">
            <w:r>
              <w:t>Approved</w:t>
            </w:r>
          </w:p>
        </w:tc>
        <w:tc>
          <w:tcPr>
            <w:tcW w:w="3418" w:type="dxa"/>
          </w:tcPr>
          <w:p w14:paraId="332377F3" w14:textId="1A732618" w:rsidR="007563D2" w:rsidRDefault="007563D2" w:rsidP="007563D2">
            <w:r>
              <w:t>Final approved, see approval  notice in the attached documents link</w:t>
            </w:r>
          </w:p>
        </w:tc>
      </w:tr>
      <w:tr w:rsidR="007563D2" w14:paraId="1B0D89CE" w14:textId="77777777" w:rsidTr="007563D2">
        <w:tc>
          <w:tcPr>
            <w:tcW w:w="3417" w:type="dxa"/>
          </w:tcPr>
          <w:p w14:paraId="4B81D567" w14:textId="4009117B" w:rsidR="007563D2" w:rsidRDefault="007563D2" w:rsidP="007563D2">
            <w:r>
              <w:t>UM 1-16</w:t>
            </w:r>
          </w:p>
        </w:tc>
        <w:tc>
          <w:tcPr>
            <w:tcW w:w="3058" w:type="dxa"/>
          </w:tcPr>
          <w:p w14:paraId="4EE4A277" w14:textId="36F061F8" w:rsidR="007563D2" w:rsidRDefault="007563D2" w:rsidP="007563D2">
            <w:r>
              <w:t>Pending, request is being reviewed for coverage and medical appropriateness</w:t>
            </w:r>
          </w:p>
        </w:tc>
        <w:tc>
          <w:tcPr>
            <w:tcW w:w="3777" w:type="dxa"/>
          </w:tcPr>
          <w:p w14:paraId="34398519" w14:textId="7E69ACA8" w:rsidR="007563D2" w:rsidRDefault="007563D2" w:rsidP="007563D2">
            <w:r>
              <w:t>Approved – As Amended</w:t>
            </w:r>
          </w:p>
        </w:tc>
        <w:tc>
          <w:tcPr>
            <w:tcW w:w="3418" w:type="dxa"/>
          </w:tcPr>
          <w:p w14:paraId="1DB3F011" w14:textId="65801178" w:rsidR="007563D2" w:rsidRDefault="007563D2" w:rsidP="007563D2">
            <w:r>
              <w:t>Final approved, request is the final PA in an amendment. See approval notice in the attached documents link</w:t>
            </w:r>
          </w:p>
        </w:tc>
      </w:tr>
      <w:tr w:rsidR="007563D2" w14:paraId="214300BE" w14:textId="77777777" w:rsidTr="007563D2">
        <w:tc>
          <w:tcPr>
            <w:tcW w:w="3417" w:type="dxa"/>
          </w:tcPr>
          <w:p w14:paraId="716C5E34" w14:textId="08EB96E3" w:rsidR="007563D2" w:rsidRDefault="007563D2" w:rsidP="007563D2">
            <w:r>
              <w:t>Provider Info Sent</w:t>
            </w:r>
          </w:p>
        </w:tc>
        <w:tc>
          <w:tcPr>
            <w:tcW w:w="3058" w:type="dxa"/>
          </w:tcPr>
          <w:p w14:paraId="6566DDD6" w14:textId="0F46BDE8" w:rsidR="007563D2" w:rsidRDefault="007563D2" w:rsidP="007563D2">
            <w:r>
              <w:t xml:space="preserve">Pending, request had notes attached. Will be sent to review. </w:t>
            </w:r>
          </w:p>
        </w:tc>
        <w:tc>
          <w:tcPr>
            <w:tcW w:w="3777" w:type="dxa"/>
          </w:tcPr>
          <w:p w14:paraId="365938C7" w14:textId="52DE774C" w:rsidR="007563D2" w:rsidRDefault="007563D2" w:rsidP="007563D2">
            <w:r>
              <w:t>Approved – Concurrent Review</w:t>
            </w:r>
          </w:p>
        </w:tc>
        <w:tc>
          <w:tcPr>
            <w:tcW w:w="3418" w:type="dxa"/>
          </w:tcPr>
          <w:p w14:paraId="17E40290" w14:textId="2F32059F" w:rsidR="007563D2" w:rsidRDefault="007563D2" w:rsidP="007563D2">
            <w:r>
              <w:t>Final approved, request will need to be updated by end date of PA with concurrent review request for additional days or a discharge summary to close. Used for inpatient and residential PA requests only. See approval notice in the attached documents link</w:t>
            </w:r>
          </w:p>
        </w:tc>
      </w:tr>
      <w:tr w:rsidR="007563D2" w14:paraId="69694C52" w14:textId="77777777" w:rsidTr="007563D2">
        <w:tc>
          <w:tcPr>
            <w:tcW w:w="3417" w:type="dxa"/>
          </w:tcPr>
          <w:p w14:paraId="228035DE" w14:textId="64446E0C" w:rsidR="007563D2" w:rsidRDefault="007563D2" w:rsidP="007563D2">
            <w:r>
              <w:t>Post Approved</w:t>
            </w:r>
          </w:p>
        </w:tc>
        <w:tc>
          <w:tcPr>
            <w:tcW w:w="3058" w:type="dxa"/>
          </w:tcPr>
          <w:p w14:paraId="2B9F4C02" w14:textId="19893C9C" w:rsidR="007563D2" w:rsidRDefault="007563D2" w:rsidP="007563D2">
            <w:r>
              <w:t xml:space="preserve">Pending, a determination has been made and as waiting for a final validation review and notification to be sent to provider. </w:t>
            </w:r>
          </w:p>
        </w:tc>
        <w:tc>
          <w:tcPr>
            <w:tcW w:w="3777" w:type="dxa"/>
          </w:tcPr>
          <w:p w14:paraId="1933B1B6" w14:textId="08C67DF2" w:rsidR="007563D2" w:rsidRDefault="007563D2" w:rsidP="007563D2">
            <w:r>
              <w:t>Approved – Concurrent Review Discharge</w:t>
            </w:r>
          </w:p>
        </w:tc>
        <w:tc>
          <w:tcPr>
            <w:tcW w:w="3418" w:type="dxa"/>
          </w:tcPr>
          <w:p w14:paraId="6F354372" w14:textId="49BDE58C" w:rsidR="007563D2" w:rsidRDefault="007563D2" w:rsidP="007563D2">
            <w:r>
              <w:t>Final approved, discharge summary has been received. See approval notice in the attached documents link</w:t>
            </w:r>
          </w:p>
        </w:tc>
      </w:tr>
      <w:tr w:rsidR="007563D2" w14:paraId="6CF2E69A" w14:textId="77777777" w:rsidTr="007563D2">
        <w:tc>
          <w:tcPr>
            <w:tcW w:w="3417" w:type="dxa"/>
          </w:tcPr>
          <w:p w14:paraId="07A1D2D0" w14:textId="51094A27" w:rsidR="007563D2" w:rsidRDefault="007563D2" w:rsidP="007563D2">
            <w:r>
              <w:t>Post Denied</w:t>
            </w:r>
          </w:p>
        </w:tc>
        <w:tc>
          <w:tcPr>
            <w:tcW w:w="3058" w:type="dxa"/>
          </w:tcPr>
          <w:p w14:paraId="6621340D" w14:textId="0788ACAF" w:rsidR="007563D2" w:rsidRDefault="007563D2" w:rsidP="007563D2">
            <w:r>
              <w:t xml:space="preserve">Pending, a determination has been made and as waiting for </w:t>
            </w:r>
            <w:r>
              <w:lastRenderedPageBreak/>
              <w:t xml:space="preserve">a final validation review and notification to be sent to provider. </w:t>
            </w:r>
          </w:p>
        </w:tc>
        <w:tc>
          <w:tcPr>
            <w:tcW w:w="3777" w:type="dxa"/>
          </w:tcPr>
          <w:p w14:paraId="24F0439A" w14:textId="77777777" w:rsidR="007563D2" w:rsidRDefault="007563D2" w:rsidP="007563D2">
            <w:r>
              <w:lastRenderedPageBreak/>
              <w:t>Denied – No Pre-Authorization</w:t>
            </w:r>
          </w:p>
          <w:p w14:paraId="60C7D402" w14:textId="2B8FF32E" w:rsidR="007563D2" w:rsidRDefault="007563D2" w:rsidP="007563D2">
            <w:r>
              <w:t>Denied – Non-Panel Provider</w:t>
            </w:r>
          </w:p>
          <w:p w14:paraId="49B0F9FD" w14:textId="77777777" w:rsidR="007563D2" w:rsidRDefault="007563D2" w:rsidP="007563D2">
            <w:r>
              <w:lastRenderedPageBreak/>
              <w:t>Denied - Not a Covered Service</w:t>
            </w:r>
          </w:p>
          <w:p w14:paraId="55BD1245" w14:textId="77777777" w:rsidR="007563D2" w:rsidRDefault="007563D2" w:rsidP="007563D2">
            <w:r>
              <w:t>Denied – Not Medically Appropriate</w:t>
            </w:r>
          </w:p>
          <w:p w14:paraId="22D6C34C" w14:textId="2E678DF1" w:rsidR="007563D2" w:rsidRDefault="007563D2" w:rsidP="007563D2"/>
        </w:tc>
        <w:tc>
          <w:tcPr>
            <w:tcW w:w="3418" w:type="dxa"/>
          </w:tcPr>
          <w:p w14:paraId="240EF5A8" w14:textId="248C8A3D" w:rsidR="007563D2" w:rsidRDefault="007563D2" w:rsidP="007563D2">
            <w:r>
              <w:lastRenderedPageBreak/>
              <w:t xml:space="preserve">Final denied, request will not be authorized in whole. See denial  </w:t>
            </w:r>
            <w:r>
              <w:lastRenderedPageBreak/>
              <w:t>notice in the attached documents link</w:t>
            </w:r>
          </w:p>
        </w:tc>
      </w:tr>
      <w:tr w:rsidR="007563D2" w14:paraId="21F09867" w14:textId="77777777" w:rsidTr="007563D2">
        <w:tc>
          <w:tcPr>
            <w:tcW w:w="3417" w:type="dxa"/>
          </w:tcPr>
          <w:p w14:paraId="3D85811B" w14:textId="7267237C" w:rsidR="007563D2" w:rsidRDefault="007563D2" w:rsidP="007563D2"/>
        </w:tc>
        <w:tc>
          <w:tcPr>
            <w:tcW w:w="3058" w:type="dxa"/>
          </w:tcPr>
          <w:p w14:paraId="45B6B6A9" w14:textId="3ADE04B3" w:rsidR="007563D2" w:rsidRDefault="007563D2" w:rsidP="007563D2"/>
        </w:tc>
        <w:tc>
          <w:tcPr>
            <w:tcW w:w="3777" w:type="dxa"/>
          </w:tcPr>
          <w:p w14:paraId="0BB34A11" w14:textId="07BDE0FD" w:rsidR="007563D2" w:rsidRDefault="007563D2" w:rsidP="007563D2">
            <w:r>
              <w:t>Denied Partial – No Pre-Authorization</w:t>
            </w:r>
          </w:p>
          <w:p w14:paraId="782D3129" w14:textId="1D6B67A2" w:rsidR="007563D2" w:rsidRDefault="007563D2" w:rsidP="007563D2">
            <w:r>
              <w:t>Denied Partial – Non-Panel Provider</w:t>
            </w:r>
          </w:p>
          <w:p w14:paraId="78C3F18F" w14:textId="532D3101" w:rsidR="007563D2" w:rsidRDefault="007563D2" w:rsidP="007563D2">
            <w:r>
              <w:t>Denied Partial - Not a Covered Service</w:t>
            </w:r>
          </w:p>
          <w:p w14:paraId="0D8A40AC" w14:textId="303EBD05" w:rsidR="007563D2" w:rsidRDefault="007563D2" w:rsidP="007563D2">
            <w:r>
              <w:t>Denied Partial – Not Medically Appropriate</w:t>
            </w:r>
          </w:p>
        </w:tc>
        <w:tc>
          <w:tcPr>
            <w:tcW w:w="3418" w:type="dxa"/>
          </w:tcPr>
          <w:p w14:paraId="0BDFC0B5" w14:textId="34B7BEBA" w:rsidR="007563D2" w:rsidRDefault="007563D2" w:rsidP="007563D2">
            <w:r>
              <w:t>Final denied, request will not be authorized in part. See the service request lines for each code determination. See denial notice in the attached documents link</w:t>
            </w:r>
          </w:p>
        </w:tc>
      </w:tr>
    </w:tbl>
    <w:p w14:paraId="65252186" w14:textId="77777777" w:rsidR="002E2DF9" w:rsidRDefault="002E2DF9" w:rsidP="002E2DF9"/>
    <w:p w14:paraId="7F58ED64" w14:textId="549B4EA6" w:rsidR="00414CDA" w:rsidRPr="00997FC0" w:rsidRDefault="00414CDA" w:rsidP="00414CDA">
      <w:pPr>
        <w:pStyle w:val="Heading3"/>
        <w:rPr>
          <w:rFonts w:ascii="Arial" w:hAnsi="Arial" w:cs="Arial"/>
          <w:b/>
          <w:color w:val="006892"/>
        </w:rPr>
      </w:pPr>
      <w:r w:rsidRPr="00997FC0">
        <w:rPr>
          <w:rFonts w:ascii="Arial" w:hAnsi="Arial" w:cs="Arial"/>
          <w:b/>
          <w:color w:val="006892"/>
        </w:rPr>
        <w:t>QUALITY AUDITING AND MONITORING</w:t>
      </w:r>
    </w:p>
    <w:p w14:paraId="5832E025" w14:textId="7FB7C58A" w:rsidR="00414CDA" w:rsidRDefault="00414CDA" w:rsidP="00414CDA">
      <w:r w:rsidRPr="00414CDA">
        <w:rPr>
          <w:b/>
          <w:bCs/>
        </w:rPr>
        <w:t>Daily:</w:t>
      </w:r>
      <w:r>
        <w:t xml:space="preserve"> UM monitors all requests through a twice daily referral report. This lists all requests received and within CIM and their status. </w:t>
      </w:r>
      <w:bookmarkStart w:id="7" w:name="_Toc73117763"/>
      <w:bookmarkEnd w:id="6"/>
    </w:p>
    <w:p w14:paraId="28728301" w14:textId="784C92D8" w:rsidR="004E1419" w:rsidRPr="000E42AC" w:rsidRDefault="00414CDA" w:rsidP="00414CDA">
      <w:pPr>
        <w:rPr>
          <w:rFonts w:cs="Times New Roman"/>
          <w:szCs w:val="24"/>
        </w:rPr>
      </w:pPr>
      <w:r w:rsidRPr="00414CDA">
        <w:rPr>
          <w:b/>
          <w:bCs/>
        </w:rPr>
        <w:t xml:space="preserve">Concurrent Review: </w:t>
      </w:r>
      <w:r>
        <w:t xml:space="preserve">UM </w:t>
      </w:r>
      <w:bookmarkStart w:id="8" w:name="_Toc47830435"/>
      <w:bookmarkEnd w:id="7"/>
      <w:r>
        <w:t>monitors</w:t>
      </w:r>
      <w:r w:rsidR="004E1419" w:rsidRPr="000E42AC">
        <w:rPr>
          <w:rFonts w:cs="Times New Roman"/>
          <w:szCs w:val="24"/>
        </w:rPr>
        <w:t xml:space="preserve"> Concurrent Review Status for approved inpatient stays.</w:t>
      </w:r>
      <w:r>
        <w:rPr>
          <w:rFonts w:cs="Times New Roman"/>
          <w:szCs w:val="24"/>
        </w:rPr>
        <w:t xml:space="preserve"> </w:t>
      </w:r>
      <w:r w:rsidR="004E1419" w:rsidRPr="000E42AC">
        <w:rPr>
          <w:rFonts w:cs="Times New Roman"/>
          <w:szCs w:val="24"/>
        </w:rPr>
        <w:t xml:space="preserve">URS will reach out to submitters to obtain concurrent review documentation for PA’s due in </w:t>
      </w:r>
      <w:r>
        <w:rPr>
          <w:rFonts w:cs="Times New Roman"/>
          <w:szCs w:val="24"/>
        </w:rPr>
        <w:t>one</w:t>
      </w:r>
      <w:r w:rsidR="004E1419" w:rsidRPr="000E42AC">
        <w:rPr>
          <w:rFonts w:cs="Times New Roman"/>
          <w:szCs w:val="24"/>
        </w:rPr>
        <w:t xml:space="preserve"> day, </w:t>
      </w:r>
      <w:r>
        <w:rPr>
          <w:rFonts w:cs="Times New Roman"/>
          <w:szCs w:val="24"/>
        </w:rPr>
        <w:t>one</w:t>
      </w:r>
      <w:r w:rsidR="004E1419" w:rsidRPr="000E42AC">
        <w:rPr>
          <w:rFonts w:cs="Times New Roman"/>
          <w:szCs w:val="24"/>
        </w:rPr>
        <w:t xml:space="preserve"> day past due, and </w:t>
      </w:r>
      <w:r>
        <w:rPr>
          <w:rFonts w:cs="Times New Roman"/>
          <w:szCs w:val="24"/>
        </w:rPr>
        <w:t>one</w:t>
      </w:r>
      <w:r w:rsidR="004E1419" w:rsidRPr="000E42AC">
        <w:rPr>
          <w:rFonts w:cs="Times New Roman"/>
          <w:szCs w:val="24"/>
        </w:rPr>
        <w:t xml:space="preserve"> week, </w:t>
      </w:r>
      <w:r>
        <w:rPr>
          <w:rFonts w:cs="Times New Roman"/>
          <w:szCs w:val="24"/>
        </w:rPr>
        <w:t>three</w:t>
      </w:r>
      <w:r w:rsidR="004E1419" w:rsidRPr="000E42AC">
        <w:rPr>
          <w:rFonts w:cs="Times New Roman"/>
          <w:szCs w:val="24"/>
        </w:rPr>
        <w:t xml:space="preserve"> weeks past due. The final status of a PA will not be changed to “Approved – Concurrent Review Discharge until the necessary discharge paperwork is received</w:t>
      </w:r>
      <w:r w:rsidR="00EE1766" w:rsidRPr="000E42AC">
        <w:rPr>
          <w:rFonts w:cs="Times New Roman"/>
          <w:szCs w:val="24"/>
        </w:rPr>
        <w:t xml:space="preserve">. </w:t>
      </w:r>
      <w:r w:rsidR="004E1419" w:rsidRPr="000E42AC">
        <w:rPr>
          <w:rFonts w:cs="Times New Roman"/>
          <w:szCs w:val="24"/>
        </w:rPr>
        <w:t>This is to ensure that the dates of service are correct and will not interfere with billing.</w:t>
      </w:r>
    </w:p>
    <w:p w14:paraId="13F39F3F" w14:textId="2127F8AE" w:rsidR="00AA0E20" w:rsidRDefault="00AA0E20" w:rsidP="00414CDA">
      <w:pPr>
        <w:spacing w:after="0"/>
        <w:rPr>
          <w:rFonts w:cs="Times New Roman"/>
          <w:szCs w:val="24"/>
        </w:rPr>
      </w:pPr>
      <w:bookmarkStart w:id="9" w:name="_Toc73117767"/>
      <w:r w:rsidRPr="00414CDA">
        <w:rPr>
          <w:b/>
          <w:bCs/>
        </w:rPr>
        <w:t>Auth without Mailings Report</w:t>
      </w:r>
      <w:bookmarkEnd w:id="8"/>
      <w:bookmarkEnd w:id="9"/>
      <w:r w:rsidR="00414CDA">
        <w:rPr>
          <w:b/>
          <w:bCs/>
        </w:rPr>
        <w:t xml:space="preserve">: </w:t>
      </w:r>
      <w:r w:rsidR="00414CDA">
        <w:t xml:space="preserve">UM monitors all requests through a twice daily auth without mailing report. </w:t>
      </w:r>
      <w:r w:rsidRPr="00BD0F1C">
        <w:rPr>
          <w:rFonts w:cs="Times New Roman"/>
          <w:szCs w:val="24"/>
        </w:rPr>
        <w:t xml:space="preserve">The report will identify prior authorizations that have been placed in a final </w:t>
      </w:r>
      <w:r w:rsidR="00EE1766" w:rsidRPr="00BD0F1C">
        <w:rPr>
          <w:rFonts w:cs="Times New Roman"/>
          <w:szCs w:val="24"/>
        </w:rPr>
        <w:t>determination,</w:t>
      </w:r>
      <w:r w:rsidRPr="00BD0F1C">
        <w:rPr>
          <w:rFonts w:cs="Times New Roman"/>
          <w:szCs w:val="24"/>
        </w:rPr>
        <w:t xml:space="preserve"> but a notification was not generated for the provider and member</w:t>
      </w:r>
      <w:r w:rsidR="00EE1766">
        <w:rPr>
          <w:rFonts w:cs="Times New Roman"/>
          <w:szCs w:val="24"/>
        </w:rPr>
        <w:t xml:space="preserve">. </w:t>
      </w:r>
    </w:p>
    <w:p w14:paraId="01E7A9A1" w14:textId="48D722C1" w:rsidR="00414CDA" w:rsidRDefault="00414CDA" w:rsidP="00414CDA">
      <w:pPr>
        <w:spacing w:after="0"/>
        <w:rPr>
          <w:rFonts w:cs="Times New Roman"/>
          <w:szCs w:val="24"/>
        </w:rPr>
      </w:pPr>
    </w:p>
    <w:p w14:paraId="197E666F" w14:textId="6A20C7EF" w:rsidR="00414CDA" w:rsidRPr="00BD0F1C" w:rsidRDefault="00414CDA" w:rsidP="00691D57">
      <w:pPr>
        <w:spacing w:after="0"/>
        <w:rPr>
          <w:rFonts w:cs="Times New Roman"/>
          <w:szCs w:val="24"/>
        </w:rPr>
      </w:pPr>
      <w:r w:rsidRPr="00414CDA">
        <w:rPr>
          <w:rFonts w:cs="Times New Roman"/>
          <w:b/>
          <w:bCs/>
          <w:szCs w:val="24"/>
        </w:rPr>
        <w:t>Quality Audits</w:t>
      </w:r>
      <w:r>
        <w:rPr>
          <w:rFonts w:cs="Times New Roman"/>
          <w:szCs w:val="24"/>
        </w:rPr>
        <w:t xml:space="preserve">: UM monitors quality of processing of requests and procedures through quality audits. These are preformed weekly and used for process improvements, oversight, </w:t>
      </w:r>
      <w:r w:rsidR="001317DF">
        <w:rPr>
          <w:rFonts w:cs="Times New Roman"/>
          <w:szCs w:val="24"/>
        </w:rPr>
        <w:t>trainings,</w:t>
      </w:r>
      <w:r>
        <w:rPr>
          <w:rFonts w:cs="Times New Roman"/>
          <w:szCs w:val="24"/>
        </w:rPr>
        <w:t xml:space="preserve"> and coaching opportunities. Additionally, medical review audits are conducted to ensure correct use of d</w:t>
      </w:r>
      <w:r w:rsidRPr="00414CDA">
        <w:rPr>
          <w:rFonts w:cs="Times New Roman"/>
          <w:szCs w:val="24"/>
        </w:rPr>
        <w:t xml:space="preserve">etermination tools (Prioritized List, Guideline </w:t>
      </w:r>
      <w:r w:rsidR="00481180">
        <w:rPr>
          <w:rFonts w:cs="Times New Roman"/>
          <w:szCs w:val="24"/>
        </w:rPr>
        <w:t>N</w:t>
      </w:r>
      <w:r w:rsidRPr="00414CDA">
        <w:rPr>
          <w:rFonts w:cs="Times New Roman"/>
          <w:szCs w:val="24"/>
        </w:rPr>
        <w:t xml:space="preserve">otes, </w:t>
      </w:r>
      <w:r w:rsidR="00481180">
        <w:rPr>
          <w:rFonts w:cs="Times New Roman"/>
          <w:szCs w:val="24"/>
        </w:rPr>
        <w:t>C</w:t>
      </w:r>
      <w:r w:rsidRPr="00414CDA">
        <w:rPr>
          <w:rFonts w:cs="Times New Roman"/>
          <w:szCs w:val="24"/>
        </w:rPr>
        <w:t xml:space="preserve">linical </w:t>
      </w:r>
      <w:r w:rsidR="00481180">
        <w:rPr>
          <w:rFonts w:cs="Times New Roman"/>
          <w:szCs w:val="24"/>
        </w:rPr>
        <w:t>Practice G</w:t>
      </w:r>
      <w:r w:rsidRPr="00414CDA">
        <w:rPr>
          <w:rFonts w:cs="Times New Roman"/>
          <w:szCs w:val="24"/>
        </w:rPr>
        <w:t xml:space="preserve">uidelines, InterQual, </w:t>
      </w:r>
      <w:r>
        <w:rPr>
          <w:rFonts w:cs="Times New Roman"/>
          <w:szCs w:val="24"/>
        </w:rPr>
        <w:t xml:space="preserve">OARs, </w:t>
      </w:r>
      <w:r w:rsidRPr="00414CDA">
        <w:rPr>
          <w:rFonts w:cs="Times New Roman"/>
          <w:szCs w:val="24"/>
        </w:rPr>
        <w:t>etc.) and properly sited in denial quote.</w:t>
      </w:r>
      <w:r w:rsidR="00691D57">
        <w:rPr>
          <w:rFonts w:cs="Times New Roman"/>
          <w:szCs w:val="24"/>
        </w:rPr>
        <w:t xml:space="preserve"> Additionally, </w:t>
      </w:r>
      <w:r>
        <w:rPr>
          <w:rFonts w:cs="Times New Roman"/>
          <w:szCs w:val="24"/>
        </w:rPr>
        <w:t xml:space="preserve">UM monitors </w:t>
      </w:r>
      <w:r w:rsidR="001669BE">
        <w:rPr>
          <w:rFonts w:cs="Times New Roman"/>
          <w:szCs w:val="24"/>
        </w:rPr>
        <w:t xml:space="preserve">annual set Key Performance Indicators (KPI) for previous </w:t>
      </w:r>
      <w:r w:rsidRPr="00BD0F1C">
        <w:rPr>
          <w:rFonts w:cs="Times New Roman"/>
          <w:szCs w:val="24"/>
        </w:rPr>
        <w:t>month for compliance</w:t>
      </w:r>
      <w:r w:rsidR="001669BE">
        <w:rPr>
          <w:rFonts w:cs="Times New Roman"/>
          <w:szCs w:val="24"/>
        </w:rPr>
        <w:t xml:space="preserve">. </w:t>
      </w:r>
      <w:r w:rsidRPr="00BD0F1C">
        <w:rPr>
          <w:rFonts w:cs="Times New Roman"/>
          <w:szCs w:val="24"/>
        </w:rPr>
        <w:t xml:space="preserve">This data includes turn-around-times for expedited, standard, SNF, and SUD authorization requests. In addition to the quantity of expedited and standard appeal and grievance requests and notification requirements. Failure to meet threshold requirements will result in corrective action plans. </w:t>
      </w:r>
    </w:p>
    <w:p w14:paraId="7A121F7F" w14:textId="77777777" w:rsidR="001669BE" w:rsidRDefault="001669BE" w:rsidP="001669BE">
      <w:pPr>
        <w:spacing w:after="0"/>
        <w:rPr>
          <w:b/>
          <w:bCs/>
        </w:rPr>
      </w:pPr>
      <w:bookmarkStart w:id="10" w:name="_Toc47830444"/>
      <w:bookmarkStart w:id="11" w:name="_Toc73117776"/>
    </w:p>
    <w:p w14:paraId="4C9CB2F4" w14:textId="6FEB0727" w:rsidR="00414CDA" w:rsidRPr="00BD0F1C" w:rsidRDefault="00414CDA" w:rsidP="001669BE">
      <w:pPr>
        <w:spacing w:after="0"/>
        <w:rPr>
          <w:rFonts w:cs="Times New Roman"/>
          <w:color w:val="1F1F1F"/>
          <w:szCs w:val="24"/>
        </w:rPr>
      </w:pPr>
      <w:r w:rsidRPr="001669BE">
        <w:rPr>
          <w:b/>
          <w:bCs/>
        </w:rPr>
        <w:t>Inter-rater Reliability (IRR) Testing</w:t>
      </w:r>
      <w:bookmarkEnd w:id="10"/>
      <w:bookmarkEnd w:id="11"/>
      <w:r w:rsidR="001669BE">
        <w:rPr>
          <w:b/>
          <w:bCs/>
        </w:rPr>
        <w:t xml:space="preserve">: </w:t>
      </w:r>
      <w:r w:rsidR="0078360D">
        <w:t>T</w:t>
      </w:r>
      <w:r w:rsidR="00080B39" w:rsidRPr="0078360D">
        <w:t>o ensure consistent application of review criteria for authorization decisions</w:t>
      </w:r>
      <w:r w:rsidR="0078360D">
        <w:t xml:space="preserve">, UHA conducts </w:t>
      </w:r>
      <w:r w:rsidRPr="00BD0F1C">
        <w:rPr>
          <w:rFonts w:cs="Times New Roman"/>
          <w:color w:val="1F1F1F"/>
          <w:w w:val="105"/>
          <w:szCs w:val="24"/>
        </w:rPr>
        <w:t>IRR</w:t>
      </w:r>
      <w:r w:rsidRPr="00BD0F1C">
        <w:rPr>
          <w:rFonts w:cs="Times New Roman"/>
          <w:color w:val="1F1F1F"/>
          <w:spacing w:val="-11"/>
          <w:w w:val="105"/>
          <w:szCs w:val="24"/>
        </w:rPr>
        <w:t xml:space="preserve"> </w:t>
      </w:r>
      <w:r w:rsidRPr="00BD0F1C">
        <w:rPr>
          <w:rFonts w:cs="Times New Roman"/>
          <w:color w:val="1F1F1F"/>
          <w:w w:val="105"/>
          <w:szCs w:val="24"/>
        </w:rPr>
        <w:t>assessments</w:t>
      </w:r>
      <w:r w:rsidRPr="00BD0F1C">
        <w:rPr>
          <w:rFonts w:cs="Times New Roman"/>
          <w:color w:val="1F1F1F"/>
          <w:spacing w:val="-6"/>
          <w:w w:val="105"/>
          <w:szCs w:val="24"/>
        </w:rPr>
        <w:t xml:space="preserve"> </w:t>
      </w:r>
      <w:r w:rsidRPr="00BD0F1C">
        <w:rPr>
          <w:rFonts w:cs="Times New Roman"/>
          <w:color w:val="1F1F1F"/>
          <w:w w:val="105"/>
          <w:szCs w:val="24"/>
        </w:rPr>
        <w:t>twice</w:t>
      </w:r>
      <w:r w:rsidRPr="00BD0F1C">
        <w:rPr>
          <w:rFonts w:cs="Times New Roman"/>
          <w:color w:val="1F1F1F"/>
          <w:spacing w:val="-14"/>
          <w:w w:val="105"/>
          <w:szCs w:val="24"/>
        </w:rPr>
        <w:t xml:space="preserve"> </w:t>
      </w:r>
      <w:r w:rsidRPr="00BD0F1C">
        <w:rPr>
          <w:rFonts w:cs="Times New Roman"/>
          <w:color w:val="1F1F1F"/>
          <w:w w:val="105"/>
          <w:szCs w:val="24"/>
        </w:rPr>
        <w:t>per</w:t>
      </w:r>
      <w:r w:rsidRPr="00BD0F1C">
        <w:rPr>
          <w:rFonts w:cs="Times New Roman"/>
          <w:color w:val="1F1F1F"/>
          <w:spacing w:val="-12"/>
          <w:w w:val="105"/>
          <w:szCs w:val="24"/>
        </w:rPr>
        <w:t xml:space="preserve"> </w:t>
      </w:r>
      <w:r w:rsidRPr="00BD0F1C">
        <w:rPr>
          <w:rFonts w:cs="Times New Roman"/>
          <w:color w:val="1F1F1F"/>
          <w:w w:val="105"/>
          <w:szCs w:val="24"/>
        </w:rPr>
        <w:t>year</w:t>
      </w:r>
      <w:r w:rsidRPr="00BD0F1C">
        <w:rPr>
          <w:rFonts w:cs="Times New Roman"/>
          <w:color w:val="1F1F1F"/>
          <w:spacing w:val="-16"/>
          <w:w w:val="105"/>
          <w:szCs w:val="24"/>
        </w:rPr>
        <w:t xml:space="preserve"> </w:t>
      </w:r>
      <w:r w:rsidRPr="00BD0F1C">
        <w:rPr>
          <w:rFonts w:cs="Times New Roman"/>
          <w:color w:val="1F1F1F"/>
          <w:w w:val="105"/>
          <w:szCs w:val="24"/>
        </w:rPr>
        <w:t>either</w:t>
      </w:r>
      <w:r w:rsidRPr="00BD0F1C">
        <w:rPr>
          <w:rFonts w:cs="Times New Roman"/>
          <w:color w:val="1F1F1F"/>
          <w:spacing w:val="-9"/>
          <w:w w:val="105"/>
          <w:szCs w:val="24"/>
        </w:rPr>
        <w:t xml:space="preserve"> </w:t>
      </w:r>
      <w:r w:rsidRPr="00BD0F1C">
        <w:rPr>
          <w:rFonts w:cs="Times New Roman"/>
          <w:color w:val="1F1F1F"/>
          <w:w w:val="105"/>
          <w:szCs w:val="24"/>
        </w:rPr>
        <w:t>through</w:t>
      </w:r>
      <w:r w:rsidRPr="00BD0F1C">
        <w:rPr>
          <w:rFonts w:cs="Times New Roman"/>
          <w:color w:val="1F1F1F"/>
          <w:spacing w:val="-12"/>
          <w:w w:val="105"/>
          <w:szCs w:val="24"/>
        </w:rPr>
        <w:t xml:space="preserve"> </w:t>
      </w:r>
      <w:r w:rsidRPr="00BD0F1C">
        <w:rPr>
          <w:rFonts w:cs="Times New Roman"/>
          <w:color w:val="1F1F1F"/>
          <w:w w:val="105"/>
          <w:szCs w:val="24"/>
        </w:rPr>
        <w:t>the</w:t>
      </w:r>
      <w:r w:rsidRPr="00BD0F1C">
        <w:rPr>
          <w:rFonts w:cs="Times New Roman"/>
          <w:color w:val="1F1F1F"/>
          <w:spacing w:val="-17"/>
          <w:w w:val="105"/>
          <w:szCs w:val="24"/>
        </w:rPr>
        <w:t xml:space="preserve"> </w:t>
      </w:r>
      <w:r w:rsidRPr="00BD0F1C">
        <w:rPr>
          <w:rFonts w:cs="Times New Roman"/>
          <w:color w:val="1F1F1F"/>
          <w:w w:val="105"/>
          <w:szCs w:val="24"/>
        </w:rPr>
        <w:t>use</w:t>
      </w:r>
      <w:r w:rsidRPr="00BD0F1C">
        <w:rPr>
          <w:rFonts w:cs="Times New Roman"/>
          <w:color w:val="1F1F1F"/>
          <w:spacing w:val="-19"/>
          <w:w w:val="105"/>
          <w:szCs w:val="24"/>
        </w:rPr>
        <w:t xml:space="preserve"> </w:t>
      </w:r>
      <w:r w:rsidRPr="00BD0F1C">
        <w:rPr>
          <w:rFonts w:cs="Times New Roman"/>
          <w:color w:val="1F1F1F"/>
          <w:w w:val="105"/>
          <w:szCs w:val="24"/>
        </w:rPr>
        <w:t>of</w:t>
      </w:r>
      <w:r w:rsidRPr="00BD0F1C">
        <w:rPr>
          <w:rFonts w:cs="Times New Roman"/>
          <w:color w:val="1F1F1F"/>
          <w:spacing w:val="-11"/>
          <w:w w:val="105"/>
          <w:szCs w:val="24"/>
        </w:rPr>
        <w:t xml:space="preserve"> </w:t>
      </w:r>
      <w:r w:rsidRPr="00BD0F1C">
        <w:rPr>
          <w:rFonts w:cs="Times New Roman"/>
          <w:color w:val="1F1F1F"/>
          <w:w w:val="105"/>
          <w:szCs w:val="24"/>
        </w:rPr>
        <w:t>InterQual© IRR</w:t>
      </w:r>
      <w:r w:rsidRPr="00BD0F1C">
        <w:rPr>
          <w:rFonts w:cs="Times New Roman"/>
          <w:color w:val="1F1F1F"/>
          <w:spacing w:val="-15"/>
          <w:w w:val="105"/>
          <w:szCs w:val="24"/>
        </w:rPr>
        <w:t xml:space="preserve"> </w:t>
      </w:r>
      <w:r w:rsidRPr="00BD0F1C">
        <w:rPr>
          <w:rFonts w:cs="Times New Roman"/>
          <w:color w:val="1F1F1F"/>
          <w:w w:val="105"/>
          <w:szCs w:val="24"/>
        </w:rPr>
        <w:t>assessment</w:t>
      </w:r>
      <w:r w:rsidRPr="00BD0F1C">
        <w:rPr>
          <w:rFonts w:cs="Times New Roman"/>
          <w:color w:val="1F1F1F"/>
          <w:spacing w:val="1"/>
          <w:w w:val="105"/>
          <w:szCs w:val="24"/>
        </w:rPr>
        <w:t xml:space="preserve"> </w:t>
      </w:r>
      <w:r w:rsidRPr="00BD0F1C">
        <w:rPr>
          <w:rFonts w:cs="Times New Roman"/>
          <w:color w:val="1F1F1F"/>
          <w:w w:val="105"/>
          <w:szCs w:val="24"/>
        </w:rPr>
        <w:t>tool</w:t>
      </w:r>
      <w:r w:rsidRPr="00BD0F1C">
        <w:rPr>
          <w:rFonts w:cs="Times New Roman"/>
          <w:color w:val="1F1F1F"/>
          <w:spacing w:val="-18"/>
          <w:w w:val="105"/>
          <w:szCs w:val="24"/>
        </w:rPr>
        <w:t xml:space="preserve"> </w:t>
      </w:r>
      <w:r w:rsidRPr="00BD0F1C">
        <w:rPr>
          <w:rFonts w:cs="Times New Roman"/>
          <w:color w:val="1F1F1F"/>
          <w:w w:val="105"/>
          <w:szCs w:val="24"/>
        </w:rPr>
        <w:t>or</w:t>
      </w:r>
      <w:r w:rsidRPr="00BD0F1C">
        <w:rPr>
          <w:rFonts w:cs="Times New Roman"/>
          <w:color w:val="1F1F1F"/>
          <w:spacing w:val="-23"/>
          <w:w w:val="105"/>
          <w:szCs w:val="24"/>
        </w:rPr>
        <w:t xml:space="preserve"> </w:t>
      </w:r>
      <w:r w:rsidRPr="00BD0F1C">
        <w:rPr>
          <w:rFonts w:cs="Times New Roman"/>
          <w:color w:val="1F1F1F"/>
          <w:w w:val="105"/>
          <w:szCs w:val="24"/>
        </w:rPr>
        <w:t>manual</w:t>
      </w:r>
      <w:r w:rsidRPr="00BD0F1C">
        <w:rPr>
          <w:rFonts w:cs="Times New Roman"/>
          <w:color w:val="1F1F1F"/>
          <w:spacing w:val="-12"/>
          <w:w w:val="105"/>
          <w:szCs w:val="24"/>
        </w:rPr>
        <w:t xml:space="preserve"> </w:t>
      </w:r>
      <w:r w:rsidRPr="00BD0F1C">
        <w:rPr>
          <w:rFonts w:cs="Times New Roman"/>
          <w:color w:val="1F1F1F"/>
          <w:w w:val="105"/>
          <w:szCs w:val="24"/>
        </w:rPr>
        <w:t>review</w:t>
      </w:r>
      <w:r w:rsidRPr="00BD0F1C">
        <w:rPr>
          <w:rFonts w:cs="Times New Roman"/>
          <w:color w:val="1F1F1F"/>
          <w:spacing w:val="-13"/>
          <w:w w:val="105"/>
          <w:szCs w:val="24"/>
        </w:rPr>
        <w:t xml:space="preserve"> </w:t>
      </w:r>
      <w:r w:rsidRPr="00BD0F1C">
        <w:rPr>
          <w:rFonts w:cs="Times New Roman"/>
          <w:color w:val="1F1F1F"/>
          <w:w w:val="105"/>
          <w:szCs w:val="24"/>
        </w:rPr>
        <w:t>of</w:t>
      </w:r>
      <w:r w:rsidRPr="00BD0F1C">
        <w:rPr>
          <w:rFonts w:cs="Times New Roman"/>
          <w:color w:val="1F1F1F"/>
          <w:spacing w:val="-18"/>
          <w:w w:val="105"/>
          <w:szCs w:val="24"/>
        </w:rPr>
        <w:t xml:space="preserve"> </w:t>
      </w:r>
      <w:r w:rsidRPr="00BD0F1C">
        <w:rPr>
          <w:rFonts w:cs="Times New Roman"/>
          <w:color w:val="1F1F1F"/>
          <w:w w:val="105"/>
          <w:szCs w:val="24"/>
        </w:rPr>
        <w:t>sample</w:t>
      </w:r>
      <w:r w:rsidRPr="00BD0F1C">
        <w:rPr>
          <w:rFonts w:cs="Times New Roman"/>
          <w:color w:val="1F1F1F"/>
          <w:spacing w:val="-19"/>
          <w:w w:val="105"/>
          <w:szCs w:val="24"/>
        </w:rPr>
        <w:t xml:space="preserve"> </w:t>
      </w:r>
      <w:r w:rsidRPr="00BD0F1C">
        <w:rPr>
          <w:rFonts w:cs="Times New Roman"/>
          <w:color w:val="1F1F1F"/>
          <w:w w:val="105"/>
          <w:szCs w:val="24"/>
        </w:rPr>
        <w:t>cases</w:t>
      </w:r>
      <w:r w:rsidRPr="00BD0F1C">
        <w:rPr>
          <w:rFonts w:cs="Times New Roman"/>
          <w:color w:val="1F1F1F"/>
          <w:spacing w:val="-13"/>
          <w:w w:val="105"/>
          <w:szCs w:val="24"/>
        </w:rPr>
        <w:t xml:space="preserve"> </w:t>
      </w:r>
      <w:r w:rsidRPr="00BD0F1C">
        <w:rPr>
          <w:rFonts w:cs="Times New Roman"/>
          <w:color w:val="1F1F1F"/>
          <w:w w:val="105"/>
          <w:szCs w:val="24"/>
        </w:rPr>
        <w:t>that</w:t>
      </w:r>
      <w:r w:rsidRPr="00BD0F1C">
        <w:rPr>
          <w:rFonts w:cs="Times New Roman"/>
          <w:color w:val="1F1F1F"/>
          <w:spacing w:val="-21"/>
          <w:w w:val="105"/>
          <w:szCs w:val="24"/>
        </w:rPr>
        <w:t xml:space="preserve"> </w:t>
      </w:r>
      <w:r w:rsidRPr="00BD0F1C">
        <w:rPr>
          <w:rFonts w:cs="Times New Roman"/>
          <w:color w:val="1F1F1F"/>
          <w:w w:val="105"/>
          <w:szCs w:val="24"/>
        </w:rPr>
        <w:t>are</w:t>
      </w:r>
      <w:r w:rsidRPr="00BD0F1C">
        <w:rPr>
          <w:rFonts w:cs="Times New Roman"/>
          <w:color w:val="1F1F1F"/>
          <w:spacing w:val="-22"/>
          <w:w w:val="105"/>
          <w:szCs w:val="24"/>
        </w:rPr>
        <w:t xml:space="preserve"> </w:t>
      </w:r>
      <w:r w:rsidRPr="00BD0F1C">
        <w:rPr>
          <w:rFonts w:cs="Times New Roman"/>
          <w:color w:val="1F1F1F"/>
          <w:w w:val="105"/>
          <w:szCs w:val="24"/>
        </w:rPr>
        <w:t>provide</w:t>
      </w:r>
      <w:r w:rsidRPr="00BD0F1C">
        <w:rPr>
          <w:rFonts w:cs="Times New Roman"/>
          <w:color w:val="1F1F1F"/>
          <w:spacing w:val="-12"/>
          <w:w w:val="105"/>
          <w:szCs w:val="24"/>
        </w:rPr>
        <w:t xml:space="preserve"> </w:t>
      </w:r>
      <w:r w:rsidRPr="00BD0F1C">
        <w:rPr>
          <w:rFonts w:cs="Times New Roman"/>
          <w:color w:val="1F1F1F"/>
          <w:w w:val="105"/>
          <w:szCs w:val="24"/>
        </w:rPr>
        <w:lastRenderedPageBreak/>
        <w:t>by</w:t>
      </w:r>
      <w:r w:rsidRPr="00BD0F1C">
        <w:rPr>
          <w:rFonts w:cs="Times New Roman"/>
          <w:color w:val="1F1F1F"/>
          <w:spacing w:val="-22"/>
          <w:w w:val="105"/>
          <w:szCs w:val="24"/>
        </w:rPr>
        <w:t xml:space="preserve"> </w:t>
      </w:r>
      <w:r w:rsidRPr="00BD0F1C">
        <w:rPr>
          <w:rFonts w:cs="Times New Roman"/>
          <w:color w:val="1F1F1F"/>
          <w:w w:val="105"/>
          <w:szCs w:val="24"/>
        </w:rPr>
        <w:t>the</w:t>
      </w:r>
      <w:r w:rsidRPr="00BD0F1C">
        <w:rPr>
          <w:rFonts w:cs="Times New Roman"/>
          <w:color w:val="1F1F1F"/>
          <w:spacing w:val="-18"/>
          <w:w w:val="105"/>
          <w:szCs w:val="24"/>
        </w:rPr>
        <w:t xml:space="preserve"> </w:t>
      </w:r>
      <w:r w:rsidRPr="00BD0F1C">
        <w:rPr>
          <w:rFonts w:cs="Times New Roman"/>
          <w:color w:val="1F1F1F"/>
          <w:w w:val="105"/>
          <w:szCs w:val="24"/>
        </w:rPr>
        <w:t>department manager.</w:t>
      </w:r>
      <w:r w:rsidR="001669BE">
        <w:rPr>
          <w:rFonts w:cs="Times New Roman"/>
          <w:color w:val="1F1F1F"/>
          <w:w w:val="105"/>
          <w:szCs w:val="24"/>
        </w:rPr>
        <w:t xml:space="preserve"> </w:t>
      </w:r>
      <w:r w:rsidRPr="00BD0F1C">
        <w:rPr>
          <w:rFonts w:cs="Times New Roman"/>
          <w:color w:val="1F1F1F"/>
          <w:w w:val="105"/>
          <w:szCs w:val="24"/>
        </w:rPr>
        <w:t xml:space="preserve">Each clinical staff member </w:t>
      </w:r>
      <w:r w:rsidR="001669BE">
        <w:rPr>
          <w:rFonts w:cs="Times New Roman"/>
          <w:color w:val="1F1F1F"/>
          <w:w w:val="105"/>
          <w:szCs w:val="24"/>
        </w:rPr>
        <w:t xml:space="preserve">is </w:t>
      </w:r>
      <w:r w:rsidRPr="00BD0F1C">
        <w:rPr>
          <w:rFonts w:cs="Times New Roman"/>
          <w:color w:val="1F1F1F"/>
          <w:w w:val="105"/>
          <w:szCs w:val="24"/>
        </w:rPr>
        <w:t>responsible for reviewing PA requests will receive either a link</w:t>
      </w:r>
      <w:r w:rsidRPr="00BD0F1C">
        <w:rPr>
          <w:rFonts w:cs="Times New Roman"/>
          <w:color w:val="1F1F1F"/>
          <w:spacing w:val="-14"/>
          <w:w w:val="105"/>
          <w:szCs w:val="24"/>
        </w:rPr>
        <w:t xml:space="preserve"> </w:t>
      </w:r>
      <w:r w:rsidRPr="00BD0F1C">
        <w:rPr>
          <w:rFonts w:cs="Times New Roman"/>
          <w:color w:val="1F1F1F"/>
          <w:w w:val="105"/>
          <w:szCs w:val="24"/>
        </w:rPr>
        <w:t>to</w:t>
      </w:r>
      <w:r w:rsidRPr="00BD0F1C">
        <w:rPr>
          <w:rFonts w:cs="Times New Roman"/>
          <w:color w:val="1F1F1F"/>
          <w:spacing w:val="-18"/>
          <w:w w:val="105"/>
          <w:szCs w:val="24"/>
        </w:rPr>
        <w:t xml:space="preserve"> </w:t>
      </w:r>
      <w:r w:rsidRPr="00BD0F1C">
        <w:rPr>
          <w:rFonts w:cs="Times New Roman"/>
          <w:color w:val="1F1F1F"/>
          <w:w w:val="105"/>
          <w:szCs w:val="24"/>
        </w:rPr>
        <w:t>the</w:t>
      </w:r>
      <w:r w:rsidRPr="00BD0F1C">
        <w:rPr>
          <w:rFonts w:cs="Times New Roman"/>
          <w:color w:val="1F1F1F"/>
          <w:spacing w:val="-15"/>
          <w:w w:val="105"/>
          <w:szCs w:val="24"/>
        </w:rPr>
        <w:t xml:space="preserve"> </w:t>
      </w:r>
      <w:r w:rsidRPr="00BD0F1C">
        <w:rPr>
          <w:rFonts w:cs="Times New Roman"/>
          <w:color w:val="1F1F1F"/>
          <w:w w:val="105"/>
          <w:szCs w:val="24"/>
        </w:rPr>
        <w:t>InterQual© IRR</w:t>
      </w:r>
      <w:r w:rsidRPr="00BD0F1C">
        <w:rPr>
          <w:rFonts w:cs="Times New Roman"/>
          <w:color w:val="1F1F1F"/>
          <w:spacing w:val="-15"/>
          <w:w w:val="105"/>
          <w:szCs w:val="24"/>
        </w:rPr>
        <w:t xml:space="preserve"> </w:t>
      </w:r>
      <w:r w:rsidRPr="00BD0F1C">
        <w:rPr>
          <w:rFonts w:cs="Times New Roman"/>
          <w:color w:val="1F1F1F"/>
          <w:w w:val="105"/>
          <w:szCs w:val="24"/>
        </w:rPr>
        <w:t>assessment</w:t>
      </w:r>
      <w:r w:rsidRPr="00BD0F1C">
        <w:rPr>
          <w:rFonts w:cs="Times New Roman"/>
          <w:color w:val="1F1F1F"/>
          <w:spacing w:val="-2"/>
          <w:w w:val="105"/>
          <w:szCs w:val="24"/>
        </w:rPr>
        <w:t xml:space="preserve"> </w:t>
      </w:r>
      <w:r w:rsidRPr="00BD0F1C">
        <w:rPr>
          <w:rFonts w:cs="Times New Roman"/>
          <w:color w:val="1F1F1F"/>
          <w:w w:val="105"/>
          <w:szCs w:val="24"/>
        </w:rPr>
        <w:t>tool</w:t>
      </w:r>
      <w:r w:rsidRPr="00BD0F1C">
        <w:rPr>
          <w:rFonts w:cs="Times New Roman"/>
          <w:color w:val="1F1F1F"/>
          <w:spacing w:val="-18"/>
          <w:w w:val="105"/>
          <w:szCs w:val="24"/>
        </w:rPr>
        <w:t xml:space="preserve"> </w:t>
      </w:r>
      <w:r w:rsidRPr="00BD0F1C">
        <w:rPr>
          <w:rFonts w:cs="Times New Roman"/>
          <w:color w:val="1F1F1F"/>
          <w:w w:val="105"/>
          <w:szCs w:val="24"/>
        </w:rPr>
        <w:t>or</w:t>
      </w:r>
      <w:r w:rsidRPr="00BD0F1C">
        <w:rPr>
          <w:rFonts w:cs="Times New Roman"/>
          <w:color w:val="1F1F1F"/>
          <w:spacing w:val="-20"/>
          <w:w w:val="105"/>
          <w:szCs w:val="24"/>
        </w:rPr>
        <w:t xml:space="preserve"> </w:t>
      </w:r>
      <w:r w:rsidRPr="00BD0F1C">
        <w:rPr>
          <w:rFonts w:cs="Times New Roman"/>
          <w:color w:val="1F1F1F"/>
          <w:w w:val="105"/>
          <w:szCs w:val="24"/>
        </w:rPr>
        <w:t>an</w:t>
      </w:r>
      <w:r w:rsidRPr="00BD0F1C">
        <w:rPr>
          <w:rFonts w:cs="Times New Roman"/>
          <w:color w:val="1F1F1F"/>
          <w:spacing w:val="-17"/>
          <w:w w:val="105"/>
          <w:szCs w:val="24"/>
        </w:rPr>
        <w:t xml:space="preserve"> </w:t>
      </w:r>
      <w:r w:rsidRPr="00BD0F1C">
        <w:rPr>
          <w:rFonts w:cs="Times New Roman"/>
          <w:color w:val="1F1F1F"/>
          <w:w w:val="105"/>
          <w:szCs w:val="24"/>
        </w:rPr>
        <w:t>email</w:t>
      </w:r>
      <w:r w:rsidRPr="00BD0F1C">
        <w:rPr>
          <w:rFonts w:cs="Times New Roman"/>
          <w:color w:val="1F1F1F"/>
          <w:spacing w:val="-12"/>
          <w:w w:val="105"/>
          <w:szCs w:val="24"/>
        </w:rPr>
        <w:t xml:space="preserve"> </w:t>
      </w:r>
      <w:r w:rsidRPr="00BD0F1C">
        <w:rPr>
          <w:rFonts w:cs="Times New Roman"/>
          <w:color w:val="1F1F1F"/>
          <w:w w:val="105"/>
          <w:szCs w:val="24"/>
        </w:rPr>
        <w:t>containing</w:t>
      </w:r>
      <w:r w:rsidRPr="00BD0F1C">
        <w:rPr>
          <w:rFonts w:cs="Times New Roman"/>
          <w:color w:val="1F1F1F"/>
          <w:spacing w:val="-10"/>
          <w:w w:val="105"/>
          <w:szCs w:val="24"/>
        </w:rPr>
        <w:t xml:space="preserve"> </w:t>
      </w:r>
      <w:r w:rsidRPr="00BD0F1C">
        <w:rPr>
          <w:rFonts w:cs="Times New Roman"/>
          <w:color w:val="1F1F1F"/>
          <w:w w:val="105"/>
          <w:szCs w:val="24"/>
        </w:rPr>
        <w:t>the</w:t>
      </w:r>
      <w:r w:rsidRPr="00BD0F1C">
        <w:rPr>
          <w:rFonts w:cs="Times New Roman"/>
          <w:color w:val="1F1F1F"/>
          <w:spacing w:val="-20"/>
          <w:w w:val="105"/>
          <w:szCs w:val="24"/>
        </w:rPr>
        <w:t xml:space="preserve"> </w:t>
      </w:r>
      <w:r w:rsidRPr="00BD0F1C">
        <w:rPr>
          <w:rFonts w:cs="Times New Roman"/>
          <w:color w:val="1F1F1F"/>
          <w:w w:val="105"/>
          <w:szCs w:val="24"/>
        </w:rPr>
        <w:t>list</w:t>
      </w:r>
      <w:r w:rsidRPr="00BD0F1C">
        <w:rPr>
          <w:rFonts w:cs="Times New Roman"/>
          <w:color w:val="1F1F1F"/>
          <w:spacing w:val="-18"/>
          <w:w w:val="105"/>
          <w:szCs w:val="24"/>
        </w:rPr>
        <w:t xml:space="preserve"> </w:t>
      </w:r>
      <w:r w:rsidRPr="00BD0F1C">
        <w:rPr>
          <w:rFonts w:cs="Times New Roman"/>
          <w:color w:val="1F1F1F"/>
          <w:w w:val="105"/>
          <w:szCs w:val="24"/>
        </w:rPr>
        <w:t>of</w:t>
      </w:r>
      <w:r w:rsidRPr="00BD0F1C">
        <w:rPr>
          <w:rFonts w:cs="Times New Roman"/>
          <w:color w:val="1F1F1F"/>
          <w:spacing w:val="-20"/>
          <w:w w:val="105"/>
          <w:szCs w:val="24"/>
        </w:rPr>
        <w:t xml:space="preserve"> </w:t>
      </w:r>
      <w:r w:rsidRPr="00BD0F1C">
        <w:rPr>
          <w:rFonts w:cs="Times New Roman"/>
          <w:color w:val="1F1F1F"/>
          <w:w w:val="105"/>
          <w:szCs w:val="24"/>
        </w:rPr>
        <w:t>sample</w:t>
      </w:r>
      <w:r w:rsidRPr="00BD0F1C">
        <w:rPr>
          <w:rFonts w:cs="Times New Roman"/>
          <w:color w:val="1F1F1F"/>
          <w:spacing w:val="-15"/>
          <w:w w:val="105"/>
          <w:szCs w:val="24"/>
        </w:rPr>
        <w:t xml:space="preserve"> </w:t>
      </w:r>
      <w:r w:rsidRPr="00BD0F1C">
        <w:rPr>
          <w:rFonts w:cs="Times New Roman"/>
          <w:color w:val="1F1F1F"/>
          <w:w w:val="105"/>
          <w:szCs w:val="24"/>
        </w:rPr>
        <w:t>cases</w:t>
      </w:r>
      <w:r w:rsidRPr="00BD0F1C">
        <w:rPr>
          <w:rFonts w:cs="Times New Roman"/>
          <w:color w:val="3B3B3B"/>
          <w:w w:val="105"/>
          <w:szCs w:val="24"/>
        </w:rPr>
        <w:t>.</w:t>
      </w:r>
    </w:p>
    <w:p w14:paraId="084AD47D" w14:textId="46A5CB77" w:rsidR="00414CDA" w:rsidRPr="001669BE" w:rsidRDefault="00414CDA" w:rsidP="00F648F9">
      <w:pPr>
        <w:pStyle w:val="ListParagraph"/>
        <w:widowControl w:val="0"/>
        <w:numPr>
          <w:ilvl w:val="0"/>
          <w:numId w:val="3"/>
        </w:numPr>
        <w:tabs>
          <w:tab w:val="left" w:pos="815"/>
        </w:tabs>
        <w:autoSpaceDE w:val="0"/>
        <w:autoSpaceDN w:val="0"/>
        <w:spacing w:after="0" w:line="251" w:lineRule="exact"/>
        <w:rPr>
          <w:rFonts w:cs="Times New Roman"/>
          <w:color w:val="1F1F1F"/>
          <w:szCs w:val="24"/>
        </w:rPr>
      </w:pPr>
      <w:r w:rsidRPr="00BD0F1C">
        <w:rPr>
          <w:rFonts w:cs="Times New Roman"/>
          <w:color w:val="1F1F1F"/>
          <w:szCs w:val="24"/>
        </w:rPr>
        <w:t>Clinical staff will complete the IRR assessment within the given</w:t>
      </w:r>
      <w:r w:rsidRPr="00BD0F1C">
        <w:rPr>
          <w:rFonts w:cs="Times New Roman"/>
          <w:color w:val="1F1F1F"/>
          <w:spacing w:val="44"/>
          <w:szCs w:val="24"/>
        </w:rPr>
        <w:t xml:space="preserve"> </w:t>
      </w:r>
      <w:r w:rsidRPr="00BD0F1C">
        <w:rPr>
          <w:rFonts w:cs="Times New Roman"/>
          <w:color w:val="1F1F1F"/>
          <w:szCs w:val="24"/>
        </w:rPr>
        <w:t>timeframe.</w:t>
      </w:r>
      <w:r w:rsidR="001669BE">
        <w:rPr>
          <w:rFonts w:cs="Times New Roman"/>
          <w:color w:val="1F1F1F"/>
          <w:szCs w:val="24"/>
        </w:rPr>
        <w:t xml:space="preserve"> </w:t>
      </w:r>
      <w:r w:rsidRPr="001669BE">
        <w:rPr>
          <w:color w:val="1F1F1F"/>
          <w:w w:val="105"/>
        </w:rPr>
        <w:t>A passing score of 80% or higher is considered proficient.</w:t>
      </w:r>
    </w:p>
    <w:p w14:paraId="3AB6475F" w14:textId="44037EA0" w:rsidR="00481180" w:rsidRPr="00481180" w:rsidRDefault="00481180" w:rsidP="001669BE">
      <w:pPr>
        <w:widowControl w:val="0"/>
        <w:tabs>
          <w:tab w:val="left" w:pos="815"/>
        </w:tabs>
        <w:autoSpaceDE w:val="0"/>
        <w:autoSpaceDN w:val="0"/>
        <w:spacing w:after="0" w:line="251" w:lineRule="exact"/>
        <w:rPr>
          <w:rFonts w:cs="Times New Roman"/>
          <w:b/>
          <w:bCs/>
          <w:color w:val="1F1F1F"/>
          <w:szCs w:val="24"/>
        </w:rPr>
      </w:pPr>
    </w:p>
    <w:p w14:paraId="1B51B8E3" w14:textId="57F12846" w:rsidR="003D7C00" w:rsidRPr="00997FC0" w:rsidRDefault="0022371D" w:rsidP="001669BE">
      <w:pPr>
        <w:pStyle w:val="Heading3"/>
        <w:rPr>
          <w:rFonts w:ascii="Arial" w:hAnsi="Arial" w:cs="Arial"/>
          <w:b/>
          <w:color w:val="006892"/>
        </w:rPr>
      </w:pPr>
      <w:r w:rsidRPr="00997FC0">
        <w:rPr>
          <w:rFonts w:ascii="Arial" w:hAnsi="Arial" w:cs="Arial"/>
          <w:b/>
          <w:color w:val="006892"/>
        </w:rPr>
        <w:t>PRIOR AUTHORIZATION STANDARD REQUESTED DURATIONS</w:t>
      </w:r>
    </w:p>
    <w:tbl>
      <w:tblPr>
        <w:tblW w:w="13583" w:type="dxa"/>
        <w:tblInd w:w="-3" w:type="dxa"/>
        <w:tblCellMar>
          <w:left w:w="0" w:type="dxa"/>
          <w:right w:w="0" w:type="dxa"/>
        </w:tblCellMar>
        <w:tblLook w:val="04A0" w:firstRow="1" w:lastRow="0" w:firstColumn="1" w:lastColumn="0" w:noHBand="0" w:noVBand="1"/>
      </w:tblPr>
      <w:tblGrid>
        <w:gridCol w:w="5358"/>
        <w:gridCol w:w="8225"/>
      </w:tblGrid>
      <w:tr w:rsidR="0022371D" w14:paraId="70C117D6" w14:textId="77777777" w:rsidTr="0022371D">
        <w:trPr>
          <w:trHeight w:val="300"/>
        </w:trPr>
        <w:tc>
          <w:tcPr>
            <w:tcW w:w="5358" w:type="dxa"/>
            <w:tcBorders>
              <w:top w:val="single" w:sz="8" w:space="0" w:color="auto"/>
              <w:left w:val="single" w:sz="8" w:space="0" w:color="auto"/>
              <w:bottom w:val="single" w:sz="8" w:space="0" w:color="auto"/>
              <w:right w:val="single" w:sz="8" w:space="0" w:color="auto"/>
            </w:tcBorders>
            <w:shd w:val="clear" w:color="auto" w:fill="E7E6E6" w:themeFill="background2"/>
            <w:noWrap/>
            <w:tcMar>
              <w:top w:w="0" w:type="dxa"/>
              <w:left w:w="108" w:type="dxa"/>
              <w:bottom w:w="0" w:type="dxa"/>
              <w:right w:w="108" w:type="dxa"/>
            </w:tcMar>
            <w:vAlign w:val="bottom"/>
            <w:hideMark/>
          </w:tcPr>
          <w:p w14:paraId="5A0E43AC" w14:textId="77777777" w:rsidR="0022371D" w:rsidRDefault="0022371D" w:rsidP="00644715">
            <w:pPr>
              <w:rPr>
                <w:color w:val="000000"/>
              </w:rPr>
            </w:pPr>
            <w:r>
              <w:rPr>
                <w:color w:val="000000"/>
              </w:rPr>
              <w:t>Auth Type</w:t>
            </w:r>
          </w:p>
        </w:tc>
        <w:tc>
          <w:tcPr>
            <w:tcW w:w="8225" w:type="dxa"/>
            <w:tcBorders>
              <w:top w:val="single" w:sz="8" w:space="0" w:color="auto"/>
              <w:left w:val="nil"/>
              <w:bottom w:val="single" w:sz="8" w:space="0" w:color="auto"/>
              <w:right w:val="single" w:sz="8" w:space="0" w:color="auto"/>
            </w:tcBorders>
            <w:shd w:val="clear" w:color="auto" w:fill="E7E6E6" w:themeFill="background2"/>
            <w:noWrap/>
            <w:tcMar>
              <w:top w:w="0" w:type="dxa"/>
              <w:left w:w="108" w:type="dxa"/>
              <w:bottom w:w="0" w:type="dxa"/>
              <w:right w:w="108" w:type="dxa"/>
            </w:tcMar>
            <w:vAlign w:val="bottom"/>
            <w:hideMark/>
          </w:tcPr>
          <w:p w14:paraId="70470CC0" w14:textId="77777777" w:rsidR="0022371D" w:rsidRDefault="0022371D" w:rsidP="00644715">
            <w:pPr>
              <w:jc w:val="center"/>
              <w:rPr>
                <w:color w:val="000000"/>
              </w:rPr>
            </w:pPr>
            <w:r>
              <w:rPr>
                <w:color w:val="000000"/>
              </w:rPr>
              <w:t>PA Timeframe</w:t>
            </w:r>
          </w:p>
        </w:tc>
      </w:tr>
      <w:tr w:rsidR="0022371D" w14:paraId="1B5A19DE"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BC50C6" w14:textId="77777777" w:rsidR="0022371D" w:rsidRDefault="0022371D" w:rsidP="00644715">
            <w:pPr>
              <w:rPr>
                <w:color w:val="000000"/>
              </w:rPr>
            </w:pPr>
            <w:r>
              <w:rPr>
                <w:color w:val="000000"/>
              </w:rPr>
              <w:t>ACUPUNCTURE</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738249" w14:textId="570D33DD" w:rsidR="0022371D" w:rsidRDefault="0022371D" w:rsidP="00644715">
            <w:pPr>
              <w:jc w:val="center"/>
              <w:rPr>
                <w:color w:val="000000"/>
              </w:rPr>
            </w:pPr>
            <w:r>
              <w:rPr>
                <w:color w:val="000000"/>
              </w:rPr>
              <w:t xml:space="preserve">8 </w:t>
            </w:r>
            <w:r w:rsidR="006A6718">
              <w:rPr>
                <w:color w:val="000000"/>
              </w:rPr>
              <w:t>W</w:t>
            </w:r>
            <w:r>
              <w:rPr>
                <w:color w:val="000000"/>
              </w:rPr>
              <w:t>eeks</w:t>
            </w:r>
          </w:p>
        </w:tc>
      </w:tr>
      <w:tr w:rsidR="0022371D" w14:paraId="00A84036"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2FA812" w14:textId="77777777" w:rsidR="0022371D" w:rsidRDefault="0022371D" w:rsidP="00644715">
            <w:pPr>
              <w:rPr>
                <w:color w:val="000000"/>
              </w:rPr>
            </w:pPr>
            <w:r>
              <w:rPr>
                <w:color w:val="000000"/>
              </w:rPr>
              <w:t>BEHAVIORAL HEALTH - ABA - ADULT</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4FA635" w14:textId="74E8E5A7" w:rsidR="0022371D" w:rsidRDefault="0022371D" w:rsidP="00644715">
            <w:pPr>
              <w:jc w:val="center"/>
              <w:rPr>
                <w:color w:val="000000" w:themeColor="text1"/>
              </w:rPr>
            </w:pPr>
            <w:r w:rsidRPr="314E1DA7">
              <w:rPr>
                <w:color w:val="000000" w:themeColor="text1"/>
              </w:rPr>
              <w:t xml:space="preserve">6 </w:t>
            </w:r>
            <w:r w:rsidR="006A6718">
              <w:rPr>
                <w:color w:val="000000" w:themeColor="text1"/>
              </w:rPr>
              <w:t>M</w:t>
            </w:r>
            <w:r w:rsidRPr="314E1DA7">
              <w:rPr>
                <w:color w:val="000000" w:themeColor="text1"/>
              </w:rPr>
              <w:t>onths</w:t>
            </w:r>
          </w:p>
        </w:tc>
      </w:tr>
      <w:tr w:rsidR="0022371D" w14:paraId="23BA7845"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B3FBF5" w14:textId="77777777" w:rsidR="0022371D" w:rsidRDefault="0022371D" w:rsidP="00644715">
            <w:pPr>
              <w:rPr>
                <w:color w:val="000000"/>
              </w:rPr>
            </w:pPr>
            <w:r>
              <w:rPr>
                <w:color w:val="000000"/>
              </w:rPr>
              <w:t>BEHAVIORAL HEALTH - ABA - CHILD</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D5C385" w14:textId="33004112" w:rsidR="0022371D" w:rsidRDefault="0022371D" w:rsidP="00644715">
            <w:pPr>
              <w:jc w:val="center"/>
              <w:rPr>
                <w:color w:val="000000" w:themeColor="text1"/>
              </w:rPr>
            </w:pPr>
            <w:r w:rsidRPr="314E1DA7">
              <w:rPr>
                <w:color w:val="000000" w:themeColor="text1"/>
              </w:rPr>
              <w:t xml:space="preserve">6 </w:t>
            </w:r>
            <w:r w:rsidR="006A6718">
              <w:rPr>
                <w:color w:val="000000" w:themeColor="text1"/>
              </w:rPr>
              <w:t>M</w:t>
            </w:r>
            <w:r w:rsidRPr="314E1DA7">
              <w:rPr>
                <w:color w:val="000000" w:themeColor="text1"/>
              </w:rPr>
              <w:t>onths</w:t>
            </w:r>
          </w:p>
        </w:tc>
      </w:tr>
      <w:tr w:rsidR="0022371D" w14:paraId="35243A42"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A4B653" w14:textId="77777777" w:rsidR="0022371D" w:rsidRDefault="0022371D" w:rsidP="00644715">
            <w:pPr>
              <w:rPr>
                <w:color w:val="000000"/>
              </w:rPr>
            </w:pPr>
            <w:r>
              <w:rPr>
                <w:color w:val="000000"/>
              </w:rPr>
              <w:t>BEHAVIORAL HEALTH - ACT</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F36988" w14:textId="782C663E" w:rsidR="0022371D" w:rsidRDefault="0022371D" w:rsidP="00644715">
            <w:pPr>
              <w:jc w:val="center"/>
            </w:pPr>
            <w:r w:rsidRPr="314E1DA7">
              <w:rPr>
                <w:color w:val="000000" w:themeColor="text1"/>
              </w:rPr>
              <w:t xml:space="preserve">90 </w:t>
            </w:r>
            <w:r w:rsidR="006A6718">
              <w:rPr>
                <w:color w:val="000000" w:themeColor="text1"/>
              </w:rPr>
              <w:t>D</w:t>
            </w:r>
            <w:r w:rsidRPr="314E1DA7">
              <w:rPr>
                <w:color w:val="000000" w:themeColor="text1"/>
              </w:rPr>
              <w:t>ays</w:t>
            </w:r>
          </w:p>
        </w:tc>
      </w:tr>
      <w:tr w:rsidR="0022371D" w14:paraId="0ADE7E08"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DBC420" w14:textId="77777777" w:rsidR="0022371D" w:rsidRDefault="0022371D" w:rsidP="00644715">
            <w:pPr>
              <w:rPr>
                <w:color w:val="000000"/>
              </w:rPr>
            </w:pPr>
            <w:r>
              <w:rPr>
                <w:color w:val="000000"/>
              </w:rPr>
              <w:t>BEHAVIORAL HEALTH - IIBHT</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FFEAC7" w14:textId="342796FC" w:rsidR="0022371D" w:rsidRDefault="0022371D" w:rsidP="00644715">
            <w:pPr>
              <w:jc w:val="center"/>
              <w:rPr>
                <w:color w:val="000000"/>
              </w:rPr>
            </w:pPr>
            <w:r w:rsidRPr="314E1DA7">
              <w:rPr>
                <w:color w:val="000000" w:themeColor="text1"/>
              </w:rPr>
              <w:t xml:space="preserve">60 </w:t>
            </w:r>
            <w:r w:rsidR="006A6718">
              <w:rPr>
                <w:color w:val="000000" w:themeColor="text1"/>
              </w:rPr>
              <w:t>D</w:t>
            </w:r>
            <w:r w:rsidRPr="314E1DA7">
              <w:rPr>
                <w:color w:val="000000" w:themeColor="text1"/>
              </w:rPr>
              <w:t>ays (</w:t>
            </w:r>
            <w:r w:rsidR="006A6718">
              <w:rPr>
                <w:color w:val="000000" w:themeColor="text1"/>
              </w:rPr>
              <w:t>I</w:t>
            </w:r>
            <w:r w:rsidRPr="314E1DA7">
              <w:rPr>
                <w:color w:val="000000" w:themeColor="text1"/>
              </w:rPr>
              <w:t>nitial)</w:t>
            </w:r>
            <w:r w:rsidR="006A6718">
              <w:rPr>
                <w:color w:val="000000" w:themeColor="text1"/>
              </w:rPr>
              <w:t xml:space="preserve">; </w:t>
            </w:r>
            <w:r w:rsidRPr="314E1DA7">
              <w:rPr>
                <w:color w:val="000000" w:themeColor="text1"/>
              </w:rPr>
              <w:t xml:space="preserve">30 </w:t>
            </w:r>
            <w:r w:rsidR="006A6718">
              <w:rPr>
                <w:color w:val="000000" w:themeColor="text1"/>
              </w:rPr>
              <w:t>D</w:t>
            </w:r>
            <w:r w:rsidRPr="314E1DA7">
              <w:rPr>
                <w:color w:val="000000" w:themeColor="text1"/>
              </w:rPr>
              <w:t>ays (</w:t>
            </w:r>
            <w:r w:rsidR="006A6718">
              <w:rPr>
                <w:color w:val="000000" w:themeColor="text1"/>
              </w:rPr>
              <w:t>O</w:t>
            </w:r>
            <w:r w:rsidRPr="314E1DA7">
              <w:rPr>
                <w:color w:val="000000" w:themeColor="text1"/>
              </w:rPr>
              <w:t>ngoing)</w:t>
            </w:r>
          </w:p>
        </w:tc>
      </w:tr>
      <w:tr w:rsidR="0022371D" w14:paraId="5D361016"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95B30E" w14:textId="77777777" w:rsidR="0022371D" w:rsidRDefault="0022371D" w:rsidP="00644715">
            <w:pPr>
              <w:rPr>
                <w:color w:val="000000"/>
              </w:rPr>
            </w:pPr>
            <w:r>
              <w:rPr>
                <w:color w:val="000000"/>
              </w:rPr>
              <w:t>BEHAVIORAL HEALTH - IP ADULT</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02D1C3" w14:textId="5D1B0B21" w:rsidR="0022371D" w:rsidRDefault="0022371D" w:rsidP="00644715">
            <w:pPr>
              <w:jc w:val="center"/>
              <w:rPr>
                <w:color w:val="000000"/>
              </w:rPr>
            </w:pPr>
            <w:r w:rsidRPr="314E1DA7">
              <w:rPr>
                <w:color w:val="000000" w:themeColor="text1"/>
              </w:rPr>
              <w:t xml:space="preserve">7 </w:t>
            </w:r>
            <w:r w:rsidR="006A6718">
              <w:rPr>
                <w:color w:val="000000" w:themeColor="text1"/>
              </w:rPr>
              <w:t>D</w:t>
            </w:r>
            <w:r w:rsidRPr="314E1DA7">
              <w:rPr>
                <w:color w:val="000000" w:themeColor="text1"/>
              </w:rPr>
              <w:t xml:space="preserve">ays </w:t>
            </w:r>
          </w:p>
        </w:tc>
      </w:tr>
      <w:tr w:rsidR="0022371D" w14:paraId="0EADC668"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140B8F" w14:textId="77777777" w:rsidR="0022371D" w:rsidRDefault="0022371D" w:rsidP="00644715">
            <w:pPr>
              <w:rPr>
                <w:color w:val="000000"/>
              </w:rPr>
            </w:pPr>
            <w:r>
              <w:rPr>
                <w:color w:val="000000"/>
              </w:rPr>
              <w:t>BEHAVIORAL HEALTH - IP CHILD</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0C588B" w14:textId="5C258CEB" w:rsidR="0022371D" w:rsidRDefault="006A6718" w:rsidP="00644715">
            <w:pPr>
              <w:jc w:val="center"/>
              <w:rPr>
                <w:color w:val="000000"/>
              </w:rPr>
            </w:pPr>
            <w:r w:rsidRPr="314E1DA7">
              <w:rPr>
                <w:color w:val="000000" w:themeColor="text1"/>
              </w:rPr>
              <w:t xml:space="preserve">7 </w:t>
            </w:r>
            <w:r>
              <w:rPr>
                <w:color w:val="000000" w:themeColor="text1"/>
              </w:rPr>
              <w:t>D</w:t>
            </w:r>
            <w:r w:rsidRPr="314E1DA7">
              <w:rPr>
                <w:color w:val="000000" w:themeColor="text1"/>
              </w:rPr>
              <w:t xml:space="preserve">ays </w:t>
            </w:r>
          </w:p>
        </w:tc>
      </w:tr>
      <w:tr w:rsidR="0022371D" w14:paraId="6DFCC210"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A14B90" w14:textId="77777777" w:rsidR="0022371D" w:rsidRDefault="0022371D" w:rsidP="00644715">
            <w:pPr>
              <w:rPr>
                <w:color w:val="000000"/>
              </w:rPr>
            </w:pPr>
            <w:r>
              <w:rPr>
                <w:color w:val="000000"/>
              </w:rPr>
              <w:t>BEHAVIORAL HEALTH - OP ADULT</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DCAD9A" w14:textId="25243411" w:rsidR="0022371D" w:rsidRDefault="0022371D" w:rsidP="00644715">
            <w:pPr>
              <w:jc w:val="center"/>
              <w:rPr>
                <w:color w:val="000000"/>
              </w:rPr>
            </w:pPr>
            <w:r w:rsidRPr="314E1DA7">
              <w:rPr>
                <w:color w:val="000000" w:themeColor="text1"/>
              </w:rPr>
              <w:t xml:space="preserve">3 </w:t>
            </w:r>
            <w:r w:rsidR="006A6718">
              <w:rPr>
                <w:color w:val="000000" w:themeColor="text1"/>
              </w:rPr>
              <w:t>M</w:t>
            </w:r>
            <w:r w:rsidRPr="314E1DA7">
              <w:rPr>
                <w:color w:val="000000" w:themeColor="text1"/>
              </w:rPr>
              <w:t>onths</w:t>
            </w:r>
          </w:p>
        </w:tc>
      </w:tr>
      <w:tr w:rsidR="0022371D" w14:paraId="01FEE172"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ADC6D8" w14:textId="77777777" w:rsidR="0022371D" w:rsidRDefault="0022371D" w:rsidP="00644715">
            <w:pPr>
              <w:rPr>
                <w:color w:val="000000"/>
              </w:rPr>
            </w:pPr>
            <w:r>
              <w:rPr>
                <w:color w:val="000000"/>
              </w:rPr>
              <w:t>BEHAVIORAL HEALTH – OP CHILD</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B1F6A7" w14:textId="63D783F5" w:rsidR="0022371D" w:rsidRDefault="0022371D" w:rsidP="00644715">
            <w:pPr>
              <w:jc w:val="center"/>
              <w:rPr>
                <w:color w:val="000000" w:themeColor="text1"/>
              </w:rPr>
            </w:pPr>
            <w:r w:rsidRPr="52757300">
              <w:rPr>
                <w:color w:val="000000" w:themeColor="text1"/>
              </w:rPr>
              <w:t xml:space="preserve">3 </w:t>
            </w:r>
            <w:r w:rsidR="006A6718">
              <w:rPr>
                <w:color w:val="000000" w:themeColor="text1"/>
              </w:rPr>
              <w:t>M</w:t>
            </w:r>
            <w:r w:rsidRPr="52757300">
              <w:rPr>
                <w:color w:val="000000" w:themeColor="text1"/>
              </w:rPr>
              <w:t>onths</w:t>
            </w:r>
          </w:p>
          <w:p w14:paraId="6B50489F" w14:textId="7D4650F8" w:rsidR="0022371D" w:rsidRDefault="0022371D" w:rsidP="00644715">
            <w:pPr>
              <w:jc w:val="center"/>
              <w:rPr>
                <w:color w:val="000000"/>
              </w:rPr>
            </w:pPr>
            <w:r w:rsidRPr="52757300">
              <w:rPr>
                <w:color w:val="000000" w:themeColor="text1"/>
              </w:rPr>
              <w:t xml:space="preserve">(6 months allowed for initial assessment for </w:t>
            </w:r>
            <w:r w:rsidR="006A6718">
              <w:rPr>
                <w:color w:val="000000" w:themeColor="text1"/>
              </w:rPr>
              <w:t>Psychological Evaluations</w:t>
            </w:r>
            <w:r w:rsidRPr="52757300">
              <w:rPr>
                <w:color w:val="000000" w:themeColor="text1"/>
              </w:rPr>
              <w:t>)</w:t>
            </w:r>
          </w:p>
        </w:tc>
      </w:tr>
      <w:tr w:rsidR="0022371D" w14:paraId="3455B88A"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1B7243" w14:textId="77777777" w:rsidR="0022371D" w:rsidRDefault="0022371D" w:rsidP="00644715">
            <w:pPr>
              <w:rPr>
                <w:color w:val="000000"/>
              </w:rPr>
            </w:pPr>
            <w:r>
              <w:rPr>
                <w:color w:val="000000"/>
              </w:rPr>
              <w:t>BEHAVIORAL HEALTH - PRTS</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FB2F62" w14:textId="1F497E13" w:rsidR="0022371D" w:rsidRDefault="0022371D" w:rsidP="00644715">
            <w:pPr>
              <w:jc w:val="center"/>
              <w:rPr>
                <w:color w:val="000000"/>
              </w:rPr>
            </w:pPr>
            <w:r>
              <w:rPr>
                <w:color w:val="000000"/>
              </w:rPr>
              <w:t xml:space="preserve">30 </w:t>
            </w:r>
            <w:r w:rsidR="006A6718">
              <w:rPr>
                <w:color w:val="000000"/>
              </w:rPr>
              <w:t>D</w:t>
            </w:r>
            <w:r>
              <w:rPr>
                <w:color w:val="000000"/>
              </w:rPr>
              <w:t>ays (</w:t>
            </w:r>
            <w:r w:rsidR="006A6718">
              <w:rPr>
                <w:color w:val="000000"/>
              </w:rPr>
              <w:t>I</w:t>
            </w:r>
            <w:r>
              <w:rPr>
                <w:color w:val="000000"/>
              </w:rPr>
              <w:t>nitial)</w:t>
            </w:r>
            <w:r w:rsidR="006A6718">
              <w:rPr>
                <w:color w:val="000000"/>
              </w:rPr>
              <w:t xml:space="preserve">; </w:t>
            </w:r>
            <w:r>
              <w:rPr>
                <w:color w:val="000000"/>
              </w:rPr>
              <w:t xml:space="preserve">14 </w:t>
            </w:r>
            <w:r w:rsidR="006A6718">
              <w:rPr>
                <w:color w:val="000000"/>
              </w:rPr>
              <w:t>D</w:t>
            </w:r>
            <w:r>
              <w:rPr>
                <w:color w:val="000000"/>
              </w:rPr>
              <w:t>ays (</w:t>
            </w:r>
            <w:r w:rsidR="006A6718">
              <w:rPr>
                <w:color w:val="000000"/>
              </w:rPr>
              <w:t>O</w:t>
            </w:r>
            <w:r>
              <w:rPr>
                <w:color w:val="000000"/>
              </w:rPr>
              <w:t>ngoing)</w:t>
            </w:r>
          </w:p>
        </w:tc>
      </w:tr>
      <w:tr w:rsidR="0022371D" w14:paraId="2C8AE1A1"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955C60" w14:textId="77777777" w:rsidR="0022371D" w:rsidRDefault="0022371D" w:rsidP="00644715">
            <w:pPr>
              <w:rPr>
                <w:color w:val="000000"/>
              </w:rPr>
            </w:pPr>
            <w:r>
              <w:rPr>
                <w:color w:val="000000"/>
              </w:rPr>
              <w:t>BEHAVIORAL HEALTH - PSYCHOLOGICAL EVAL ADULT</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05AB57" w14:textId="37F2FB3F" w:rsidR="0022371D" w:rsidRDefault="006A6718" w:rsidP="00644715">
            <w:pPr>
              <w:jc w:val="center"/>
              <w:rPr>
                <w:color w:val="000000"/>
              </w:rPr>
            </w:pPr>
            <w:r w:rsidRPr="314E1DA7">
              <w:rPr>
                <w:color w:val="000000" w:themeColor="text1"/>
              </w:rPr>
              <w:t xml:space="preserve">12 </w:t>
            </w:r>
            <w:r>
              <w:rPr>
                <w:color w:val="000000" w:themeColor="text1"/>
              </w:rPr>
              <w:t>M</w:t>
            </w:r>
            <w:r w:rsidRPr="314E1DA7">
              <w:rPr>
                <w:color w:val="000000" w:themeColor="text1"/>
              </w:rPr>
              <w:t>onths</w:t>
            </w:r>
          </w:p>
        </w:tc>
      </w:tr>
      <w:tr w:rsidR="0022371D" w14:paraId="06321F05"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FE99BB" w14:textId="77777777" w:rsidR="0022371D" w:rsidRDefault="0022371D" w:rsidP="00644715">
            <w:pPr>
              <w:rPr>
                <w:color w:val="000000"/>
              </w:rPr>
            </w:pPr>
            <w:r>
              <w:rPr>
                <w:color w:val="000000"/>
              </w:rPr>
              <w:t>BEHAVIORAL HEALTH - PSYCHOLOGICAL EVAL CHILD</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5C7645" w14:textId="53C46F3D" w:rsidR="0022371D" w:rsidRDefault="006A6718" w:rsidP="00644715">
            <w:pPr>
              <w:jc w:val="center"/>
              <w:rPr>
                <w:color w:val="000000"/>
              </w:rPr>
            </w:pPr>
            <w:r w:rsidRPr="314E1DA7">
              <w:rPr>
                <w:color w:val="000000" w:themeColor="text1"/>
              </w:rPr>
              <w:t>12 Months</w:t>
            </w:r>
          </w:p>
        </w:tc>
      </w:tr>
      <w:tr w:rsidR="0022371D" w14:paraId="7F1C21B9"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DCB026" w14:textId="77777777" w:rsidR="0022371D" w:rsidRDefault="0022371D" w:rsidP="00644715">
            <w:pPr>
              <w:rPr>
                <w:color w:val="000000"/>
              </w:rPr>
            </w:pPr>
            <w:r>
              <w:rPr>
                <w:color w:val="000000"/>
              </w:rPr>
              <w:lastRenderedPageBreak/>
              <w:t>BEHAVIORAL HEALTH - RES ADULT</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5E7785" w14:textId="7B1047D7" w:rsidR="0022371D" w:rsidRDefault="006A6718" w:rsidP="00644715">
            <w:pPr>
              <w:jc w:val="center"/>
              <w:rPr>
                <w:color w:val="000000"/>
              </w:rPr>
            </w:pPr>
            <w:r w:rsidRPr="314E1DA7">
              <w:rPr>
                <w:color w:val="000000" w:themeColor="text1"/>
              </w:rPr>
              <w:t>30 Days (Initial)</w:t>
            </w:r>
            <w:r w:rsidR="00B445BD">
              <w:rPr>
                <w:color w:val="000000" w:themeColor="text1"/>
              </w:rPr>
              <w:t xml:space="preserve">; </w:t>
            </w:r>
            <w:r w:rsidRPr="314E1DA7">
              <w:rPr>
                <w:color w:val="000000" w:themeColor="text1"/>
              </w:rPr>
              <w:t xml:space="preserve">14 Days (Ongoing </w:t>
            </w:r>
            <w:r w:rsidR="00B445BD" w:rsidRPr="314E1DA7">
              <w:rPr>
                <w:color w:val="000000" w:themeColor="text1"/>
              </w:rPr>
              <w:t>or</w:t>
            </w:r>
            <w:r w:rsidRPr="314E1DA7">
              <w:rPr>
                <w:color w:val="000000" w:themeColor="text1"/>
              </w:rPr>
              <w:t xml:space="preserve"> Continuation </w:t>
            </w:r>
            <w:r w:rsidR="00B445BD" w:rsidRPr="314E1DA7">
              <w:rPr>
                <w:color w:val="000000" w:themeColor="text1"/>
              </w:rPr>
              <w:t>of</w:t>
            </w:r>
            <w:r w:rsidRPr="314E1DA7">
              <w:rPr>
                <w:color w:val="000000" w:themeColor="text1"/>
              </w:rPr>
              <w:t xml:space="preserve"> Care)</w:t>
            </w:r>
          </w:p>
        </w:tc>
      </w:tr>
      <w:tr w:rsidR="0022371D" w14:paraId="5E11A7F2"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46B283" w14:textId="77777777" w:rsidR="0022371D" w:rsidRDefault="0022371D" w:rsidP="00644715">
            <w:pPr>
              <w:rPr>
                <w:color w:val="000000"/>
              </w:rPr>
            </w:pPr>
            <w:r>
              <w:rPr>
                <w:color w:val="000000"/>
              </w:rPr>
              <w:t>BEHAVIORAL HEALTH - RES CHILD</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3B329E" w14:textId="4CDDCCE5" w:rsidR="0022371D" w:rsidRDefault="006A6718" w:rsidP="00644715">
            <w:pPr>
              <w:jc w:val="center"/>
              <w:rPr>
                <w:color w:val="000000"/>
              </w:rPr>
            </w:pPr>
            <w:r w:rsidRPr="314E1DA7">
              <w:rPr>
                <w:color w:val="000000" w:themeColor="text1"/>
              </w:rPr>
              <w:t>30 Days (Initial)</w:t>
            </w:r>
            <w:r w:rsidR="00B445BD">
              <w:rPr>
                <w:color w:val="000000" w:themeColor="text1"/>
              </w:rPr>
              <w:t xml:space="preserve">; </w:t>
            </w:r>
            <w:r w:rsidRPr="314E1DA7">
              <w:rPr>
                <w:color w:val="000000" w:themeColor="text1"/>
              </w:rPr>
              <w:t xml:space="preserve">14 Days (Ongoing </w:t>
            </w:r>
            <w:r w:rsidR="00B445BD" w:rsidRPr="314E1DA7">
              <w:rPr>
                <w:color w:val="000000" w:themeColor="text1"/>
              </w:rPr>
              <w:t>or</w:t>
            </w:r>
            <w:r w:rsidRPr="314E1DA7">
              <w:rPr>
                <w:color w:val="000000" w:themeColor="text1"/>
              </w:rPr>
              <w:t xml:space="preserve"> Continuation </w:t>
            </w:r>
            <w:r w:rsidR="00B445BD" w:rsidRPr="314E1DA7">
              <w:rPr>
                <w:color w:val="000000" w:themeColor="text1"/>
              </w:rPr>
              <w:t>of</w:t>
            </w:r>
            <w:r w:rsidRPr="314E1DA7">
              <w:rPr>
                <w:color w:val="000000" w:themeColor="text1"/>
              </w:rPr>
              <w:t xml:space="preserve"> Care)</w:t>
            </w:r>
          </w:p>
        </w:tc>
      </w:tr>
      <w:tr w:rsidR="0022371D" w14:paraId="574D80A6"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64D2DE" w14:textId="77777777" w:rsidR="0022371D" w:rsidRDefault="0022371D" w:rsidP="00644715">
            <w:pPr>
              <w:rPr>
                <w:color w:val="000000"/>
              </w:rPr>
            </w:pPr>
            <w:r>
              <w:rPr>
                <w:color w:val="000000"/>
              </w:rPr>
              <w:t>BEHAVIORAL HEALTH - SUD - CHILD</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FA7453" w14:textId="52545829" w:rsidR="0022371D" w:rsidRDefault="006A6718" w:rsidP="00644715">
            <w:pPr>
              <w:jc w:val="center"/>
              <w:rPr>
                <w:color w:val="000000"/>
              </w:rPr>
            </w:pPr>
            <w:r w:rsidRPr="314E1DA7">
              <w:rPr>
                <w:color w:val="000000" w:themeColor="text1"/>
              </w:rPr>
              <w:t>*</w:t>
            </w:r>
            <w:r w:rsidR="0022371D" w:rsidRPr="314E1DA7">
              <w:rPr>
                <w:color w:val="000000" w:themeColor="text1"/>
              </w:rPr>
              <w:t xml:space="preserve">Consistent </w:t>
            </w:r>
            <w:r w:rsidRPr="314E1DA7">
              <w:rPr>
                <w:color w:val="000000" w:themeColor="text1"/>
              </w:rPr>
              <w:t>With Adult Auth Types</w:t>
            </w:r>
          </w:p>
        </w:tc>
      </w:tr>
      <w:tr w:rsidR="0022371D" w14:paraId="4E32D40D"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4D3ABE" w14:textId="77777777" w:rsidR="0022371D" w:rsidRDefault="0022371D" w:rsidP="00644715">
            <w:pPr>
              <w:rPr>
                <w:color w:val="000000"/>
              </w:rPr>
            </w:pPr>
            <w:r>
              <w:rPr>
                <w:color w:val="000000"/>
              </w:rPr>
              <w:t>BEHAVIORAL HEALTH - SUD - DETOX</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D36E14" w14:textId="059CBC25" w:rsidR="0022371D" w:rsidRDefault="006A6718" w:rsidP="00644715">
            <w:pPr>
              <w:jc w:val="center"/>
              <w:rPr>
                <w:color w:val="000000"/>
              </w:rPr>
            </w:pPr>
            <w:r w:rsidRPr="314E1DA7">
              <w:rPr>
                <w:color w:val="000000" w:themeColor="text1"/>
              </w:rPr>
              <w:t xml:space="preserve">4 Days </w:t>
            </w:r>
          </w:p>
        </w:tc>
      </w:tr>
      <w:tr w:rsidR="0022371D" w14:paraId="5FE60C82"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FDC7F3" w14:textId="77777777" w:rsidR="0022371D" w:rsidRDefault="0022371D" w:rsidP="00644715">
            <w:pPr>
              <w:rPr>
                <w:color w:val="000000"/>
              </w:rPr>
            </w:pPr>
            <w:r>
              <w:rPr>
                <w:color w:val="000000"/>
              </w:rPr>
              <w:t>BEHAVIORAL HEALTH - SUD - DETOX NIDA</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EC64DC" w14:textId="68EA922F" w:rsidR="0022371D" w:rsidRDefault="006A6718" w:rsidP="00644715">
            <w:pPr>
              <w:jc w:val="center"/>
              <w:rPr>
                <w:color w:val="000000"/>
              </w:rPr>
            </w:pPr>
            <w:r w:rsidRPr="314E1DA7">
              <w:rPr>
                <w:color w:val="000000" w:themeColor="text1"/>
              </w:rPr>
              <w:t xml:space="preserve">4 Days </w:t>
            </w:r>
          </w:p>
        </w:tc>
      </w:tr>
      <w:tr w:rsidR="0022371D" w14:paraId="6F6FBC13"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7AC719" w14:textId="77777777" w:rsidR="0022371D" w:rsidRDefault="0022371D" w:rsidP="00644715">
            <w:pPr>
              <w:rPr>
                <w:color w:val="000000"/>
              </w:rPr>
            </w:pPr>
            <w:r>
              <w:rPr>
                <w:color w:val="000000"/>
              </w:rPr>
              <w:t>BEHAVIORAL HEALTH - SUD - OP</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34C4D3" w14:textId="79F5101F" w:rsidR="0022371D" w:rsidRDefault="006A6718" w:rsidP="00644715">
            <w:pPr>
              <w:jc w:val="center"/>
              <w:rPr>
                <w:color w:val="000000"/>
              </w:rPr>
            </w:pPr>
            <w:r>
              <w:rPr>
                <w:color w:val="000000"/>
              </w:rPr>
              <w:t>3 Months</w:t>
            </w:r>
          </w:p>
        </w:tc>
      </w:tr>
      <w:tr w:rsidR="0022371D" w14:paraId="03FEF3FB"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8F148C" w14:textId="77777777" w:rsidR="0022371D" w:rsidRDefault="0022371D" w:rsidP="00644715">
            <w:pPr>
              <w:rPr>
                <w:color w:val="000000"/>
              </w:rPr>
            </w:pPr>
            <w:r>
              <w:rPr>
                <w:color w:val="000000"/>
              </w:rPr>
              <w:t>BEHAVIORAL HEALTH - SUD - RESIDENTIAL</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140B37" w14:textId="62E4EDDB" w:rsidR="0022371D" w:rsidRDefault="006A6718" w:rsidP="00644715">
            <w:pPr>
              <w:jc w:val="center"/>
              <w:rPr>
                <w:color w:val="000000"/>
              </w:rPr>
            </w:pPr>
            <w:r w:rsidRPr="314E1DA7">
              <w:rPr>
                <w:color w:val="000000" w:themeColor="text1"/>
              </w:rPr>
              <w:t>30 Days (Initial)</w:t>
            </w:r>
            <w:r>
              <w:rPr>
                <w:color w:val="000000" w:themeColor="text1"/>
              </w:rPr>
              <w:t xml:space="preserve">; </w:t>
            </w:r>
            <w:r w:rsidRPr="314E1DA7">
              <w:rPr>
                <w:color w:val="000000" w:themeColor="text1"/>
              </w:rPr>
              <w:t>7 Days (Ongoing)</w:t>
            </w:r>
          </w:p>
        </w:tc>
      </w:tr>
      <w:tr w:rsidR="0022371D" w14:paraId="52CD105A"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71A143" w14:textId="77777777" w:rsidR="0022371D" w:rsidRDefault="0022371D" w:rsidP="00644715">
            <w:pPr>
              <w:rPr>
                <w:color w:val="000000"/>
              </w:rPr>
            </w:pPr>
            <w:r>
              <w:rPr>
                <w:color w:val="000000"/>
              </w:rPr>
              <w:t>CHIROPRACTIC</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445065" w14:textId="01779E2A" w:rsidR="0022371D" w:rsidRDefault="006A6718" w:rsidP="00644715">
            <w:pPr>
              <w:jc w:val="center"/>
              <w:rPr>
                <w:color w:val="000000"/>
              </w:rPr>
            </w:pPr>
            <w:r>
              <w:rPr>
                <w:color w:val="000000"/>
              </w:rPr>
              <w:t>8 Weeks</w:t>
            </w:r>
          </w:p>
        </w:tc>
      </w:tr>
      <w:tr w:rsidR="0022371D" w14:paraId="6F3217EF"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D1298D" w14:textId="77777777" w:rsidR="0022371D" w:rsidRDefault="0022371D" w:rsidP="00644715">
            <w:pPr>
              <w:rPr>
                <w:color w:val="000000"/>
              </w:rPr>
            </w:pPr>
            <w:r>
              <w:rPr>
                <w:color w:val="000000"/>
              </w:rPr>
              <w:t>DERMATOLOGY</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D22068" w14:textId="3996B9D6" w:rsidR="0022371D" w:rsidRDefault="006A6718" w:rsidP="00B445BD">
            <w:pPr>
              <w:jc w:val="center"/>
              <w:rPr>
                <w:color w:val="000000"/>
              </w:rPr>
            </w:pPr>
            <w:r w:rsidRPr="6A920A1B">
              <w:rPr>
                <w:color w:val="000000" w:themeColor="text1"/>
              </w:rPr>
              <w:t>6</w:t>
            </w:r>
            <w:r w:rsidR="00B445BD">
              <w:rPr>
                <w:color w:val="000000" w:themeColor="text1"/>
              </w:rPr>
              <w:t xml:space="preserve"> Months – </w:t>
            </w:r>
            <w:r w:rsidRPr="6A920A1B">
              <w:rPr>
                <w:color w:val="000000" w:themeColor="text1"/>
              </w:rPr>
              <w:t>1</w:t>
            </w:r>
            <w:r w:rsidR="00B445BD">
              <w:rPr>
                <w:color w:val="000000" w:themeColor="text1"/>
              </w:rPr>
              <w:t xml:space="preserve"> Year</w:t>
            </w:r>
            <w:r w:rsidRPr="6A920A1B">
              <w:rPr>
                <w:color w:val="000000" w:themeColor="text1"/>
              </w:rPr>
              <w:t xml:space="preserve"> (Initial/Referral</w:t>
            </w:r>
            <w:r w:rsidR="00B445BD">
              <w:rPr>
                <w:color w:val="000000" w:themeColor="text1"/>
              </w:rPr>
              <w:t>/ Follow-Up</w:t>
            </w:r>
            <w:r w:rsidRPr="6A920A1B">
              <w:rPr>
                <w:color w:val="000000" w:themeColor="text1"/>
              </w:rPr>
              <w:t>)</w:t>
            </w:r>
            <w:r w:rsidR="00B445BD">
              <w:rPr>
                <w:color w:val="000000" w:themeColor="text1"/>
              </w:rPr>
              <w:t xml:space="preserve">; </w:t>
            </w:r>
            <w:r w:rsidRPr="6A920A1B">
              <w:rPr>
                <w:color w:val="000000" w:themeColor="text1"/>
              </w:rPr>
              <w:t>3</w:t>
            </w:r>
            <w:r w:rsidR="00B445BD">
              <w:rPr>
                <w:color w:val="000000" w:themeColor="text1"/>
              </w:rPr>
              <w:t xml:space="preserve"> Months</w:t>
            </w:r>
            <w:r w:rsidRPr="6A920A1B">
              <w:rPr>
                <w:color w:val="000000" w:themeColor="text1"/>
              </w:rPr>
              <w:t xml:space="preserve"> (Treatment)</w:t>
            </w:r>
          </w:p>
        </w:tc>
      </w:tr>
      <w:tr w:rsidR="0022371D" w14:paraId="60826828"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CD2A13" w14:textId="77777777" w:rsidR="0022371D" w:rsidRDefault="0022371D" w:rsidP="00644715">
            <w:pPr>
              <w:rPr>
                <w:color w:val="000000"/>
              </w:rPr>
            </w:pPr>
            <w:r>
              <w:rPr>
                <w:color w:val="000000"/>
              </w:rPr>
              <w:t>DIAGNOSTIC SERVICES</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D41DA7" w14:textId="1DD6620D" w:rsidR="0022371D" w:rsidRDefault="00B445BD" w:rsidP="00644715">
            <w:pPr>
              <w:jc w:val="center"/>
              <w:rPr>
                <w:color w:val="000000"/>
              </w:rPr>
            </w:pPr>
            <w:r w:rsidRPr="6A920A1B">
              <w:rPr>
                <w:color w:val="000000" w:themeColor="text1"/>
              </w:rPr>
              <w:t>6</w:t>
            </w:r>
            <w:r>
              <w:rPr>
                <w:color w:val="000000" w:themeColor="text1"/>
              </w:rPr>
              <w:t xml:space="preserve"> Months – </w:t>
            </w:r>
            <w:r w:rsidRPr="6A920A1B">
              <w:rPr>
                <w:color w:val="000000" w:themeColor="text1"/>
              </w:rPr>
              <w:t>1</w:t>
            </w:r>
            <w:r>
              <w:rPr>
                <w:color w:val="000000" w:themeColor="text1"/>
              </w:rPr>
              <w:t xml:space="preserve"> Year</w:t>
            </w:r>
          </w:p>
        </w:tc>
      </w:tr>
      <w:tr w:rsidR="0022371D" w14:paraId="4F605308"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309B31" w14:textId="77777777" w:rsidR="0022371D" w:rsidRDefault="0022371D" w:rsidP="00644715">
            <w:pPr>
              <w:rPr>
                <w:color w:val="000000"/>
              </w:rPr>
            </w:pPr>
            <w:r>
              <w:rPr>
                <w:color w:val="000000"/>
              </w:rPr>
              <w:t>DURABLE MEDICAL SUPPLIES</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BE661E" w14:textId="1359EB96" w:rsidR="0022371D" w:rsidRDefault="006A6718" w:rsidP="00644715">
            <w:pPr>
              <w:jc w:val="center"/>
              <w:rPr>
                <w:color w:val="000000"/>
              </w:rPr>
            </w:pPr>
            <w:r w:rsidRPr="0386B53E">
              <w:rPr>
                <w:color w:val="000000" w:themeColor="text1"/>
              </w:rPr>
              <w:t>**</w:t>
            </w:r>
            <w:r w:rsidR="0022371D" w:rsidRPr="0386B53E">
              <w:rPr>
                <w:color w:val="000000" w:themeColor="text1"/>
              </w:rPr>
              <w:t xml:space="preserve">Depends </w:t>
            </w:r>
            <w:r w:rsidR="00B445BD">
              <w:rPr>
                <w:color w:val="000000" w:themeColor="text1"/>
              </w:rPr>
              <w:t>o</w:t>
            </w:r>
            <w:r w:rsidRPr="0386B53E">
              <w:rPr>
                <w:color w:val="000000" w:themeColor="text1"/>
              </w:rPr>
              <w:t xml:space="preserve">n </w:t>
            </w:r>
            <w:r w:rsidR="00B445BD" w:rsidRPr="0386B53E">
              <w:rPr>
                <w:color w:val="000000" w:themeColor="text1"/>
              </w:rPr>
              <w:t>the</w:t>
            </w:r>
            <w:r w:rsidRPr="0386B53E">
              <w:rPr>
                <w:color w:val="000000" w:themeColor="text1"/>
              </w:rPr>
              <w:t xml:space="preserve"> </w:t>
            </w:r>
            <w:r w:rsidR="00F95555">
              <w:rPr>
                <w:color w:val="000000" w:themeColor="text1"/>
              </w:rPr>
              <w:t>r</w:t>
            </w:r>
            <w:r w:rsidRPr="0386B53E">
              <w:rPr>
                <w:color w:val="000000" w:themeColor="text1"/>
              </w:rPr>
              <w:t>equest</w:t>
            </w:r>
          </w:p>
        </w:tc>
      </w:tr>
      <w:tr w:rsidR="0022371D" w14:paraId="5C6DD562"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1C0300" w14:textId="77777777" w:rsidR="0022371D" w:rsidRDefault="0022371D" w:rsidP="00644715">
            <w:pPr>
              <w:rPr>
                <w:color w:val="000000"/>
              </w:rPr>
            </w:pPr>
            <w:r>
              <w:rPr>
                <w:color w:val="000000"/>
              </w:rPr>
              <w:t>HOME HEALTH</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AC05F8" w14:textId="1AD67FB7" w:rsidR="0022371D" w:rsidRDefault="006A6718" w:rsidP="00644715">
            <w:pPr>
              <w:jc w:val="center"/>
              <w:rPr>
                <w:color w:val="000000"/>
              </w:rPr>
            </w:pPr>
            <w:r>
              <w:rPr>
                <w:color w:val="000000"/>
              </w:rPr>
              <w:t>30</w:t>
            </w:r>
            <w:r w:rsidR="00F95555">
              <w:rPr>
                <w:color w:val="000000"/>
              </w:rPr>
              <w:t xml:space="preserve"> </w:t>
            </w:r>
            <w:r>
              <w:rPr>
                <w:color w:val="000000"/>
              </w:rPr>
              <w:t>-</w:t>
            </w:r>
            <w:r w:rsidR="00F95555">
              <w:rPr>
                <w:color w:val="000000"/>
              </w:rPr>
              <w:t xml:space="preserve"> </w:t>
            </w:r>
            <w:r>
              <w:rPr>
                <w:color w:val="000000"/>
              </w:rPr>
              <w:t>60 Days</w:t>
            </w:r>
          </w:p>
        </w:tc>
      </w:tr>
      <w:tr w:rsidR="0022371D" w14:paraId="3B73FD8F"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9FE5B7" w14:textId="77777777" w:rsidR="0022371D" w:rsidRDefault="0022371D" w:rsidP="00644715">
            <w:pPr>
              <w:rPr>
                <w:color w:val="000000"/>
              </w:rPr>
            </w:pPr>
            <w:r>
              <w:rPr>
                <w:color w:val="000000"/>
              </w:rPr>
              <w:t>HOSPICE</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3CAADF" w14:textId="546E3929" w:rsidR="0022371D" w:rsidRDefault="00F95555" w:rsidP="00644715">
            <w:pPr>
              <w:jc w:val="center"/>
              <w:rPr>
                <w:color w:val="000000"/>
              </w:rPr>
            </w:pPr>
            <w:r>
              <w:rPr>
                <w:color w:val="000000"/>
              </w:rPr>
              <w:t>2 Weeks – 1 Year</w:t>
            </w:r>
          </w:p>
        </w:tc>
      </w:tr>
      <w:tr w:rsidR="0022371D" w14:paraId="6982D4CA"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D33AE7" w14:textId="77777777" w:rsidR="0022371D" w:rsidRDefault="0022371D" w:rsidP="00644715">
            <w:pPr>
              <w:rPr>
                <w:color w:val="000000"/>
              </w:rPr>
            </w:pPr>
            <w:r>
              <w:rPr>
                <w:color w:val="000000"/>
              </w:rPr>
              <w:t>HOSPITALIZATION/ADMISSIONS</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879599" w14:textId="2006057B" w:rsidR="0022371D" w:rsidRDefault="006A6718" w:rsidP="00644715">
            <w:pPr>
              <w:jc w:val="center"/>
              <w:rPr>
                <w:color w:val="000000"/>
              </w:rPr>
            </w:pPr>
            <w:r>
              <w:rPr>
                <w:color w:val="000000"/>
              </w:rPr>
              <w:t>7 Days</w:t>
            </w:r>
          </w:p>
        </w:tc>
      </w:tr>
      <w:tr w:rsidR="0022371D" w14:paraId="6C3A1095"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2A2ACA" w14:textId="77777777" w:rsidR="0022371D" w:rsidRDefault="0022371D" w:rsidP="00644715">
            <w:pPr>
              <w:rPr>
                <w:color w:val="000000"/>
              </w:rPr>
            </w:pPr>
            <w:r>
              <w:rPr>
                <w:color w:val="000000"/>
              </w:rPr>
              <w:t>IMAGING</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B86650" w14:textId="1C970229" w:rsidR="0022371D" w:rsidRDefault="00F95555" w:rsidP="00644715">
            <w:pPr>
              <w:jc w:val="center"/>
              <w:rPr>
                <w:color w:val="000000"/>
              </w:rPr>
            </w:pPr>
            <w:r w:rsidRPr="6A920A1B">
              <w:rPr>
                <w:color w:val="000000" w:themeColor="text1"/>
              </w:rPr>
              <w:t>6</w:t>
            </w:r>
            <w:r>
              <w:rPr>
                <w:color w:val="000000" w:themeColor="text1"/>
              </w:rPr>
              <w:t xml:space="preserve"> Months – </w:t>
            </w:r>
            <w:r w:rsidRPr="6A920A1B">
              <w:rPr>
                <w:color w:val="000000" w:themeColor="text1"/>
              </w:rPr>
              <w:t>1</w:t>
            </w:r>
            <w:r>
              <w:rPr>
                <w:color w:val="000000" w:themeColor="text1"/>
              </w:rPr>
              <w:t xml:space="preserve"> Year</w:t>
            </w:r>
          </w:p>
        </w:tc>
      </w:tr>
      <w:tr w:rsidR="0022371D" w14:paraId="07B4DDD2"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3AA2DD" w14:textId="77777777" w:rsidR="0022371D" w:rsidRDefault="0022371D" w:rsidP="00644715">
            <w:pPr>
              <w:rPr>
                <w:color w:val="000000"/>
              </w:rPr>
            </w:pPr>
            <w:r>
              <w:rPr>
                <w:color w:val="000000"/>
              </w:rPr>
              <w:t>INPATIENT SURGERY SERVICES</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869FFF" w14:textId="2D443333" w:rsidR="0022371D" w:rsidRDefault="00F95555" w:rsidP="00644715">
            <w:pPr>
              <w:jc w:val="center"/>
              <w:rPr>
                <w:color w:val="000000"/>
              </w:rPr>
            </w:pPr>
            <w:r w:rsidRPr="6A920A1B">
              <w:rPr>
                <w:color w:val="000000" w:themeColor="text1"/>
              </w:rPr>
              <w:t>6</w:t>
            </w:r>
            <w:r>
              <w:rPr>
                <w:color w:val="000000" w:themeColor="text1"/>
              </w:rPr>
              <w:t xml:space="preserve"> Months – </w:t>
            </w:r>
            <w:r w:rsidRPr="6A920A1B">
              <w:rPr>
                <w:color w:val="000000" w:themeColor="text1"/>
              </w:rPr>
              <w:t>1</w:t>
            </w:r>
            <w:r>
              <w:rPr>
                <w:color w:val="000000" w:themeColor="text1"/>
              </w:rPr>
              <w:t xml:space="preserve"> Year</w:t>
            </w:r>
          </w:p>
        </w:tc>
      </w:tr>
      <w:tr w:rsidR="0022371D" w14:paraId="0E9DE8F8"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AE6F25" w14:textId="77777777" w:rsidR="0022371D" w:rsidRDefault="0022371D" w:rsidP="00644715">
            <w:pPr>
              <w:rPr>
                <w:color w:val="000000"/>
              </w:rPr>
            </w:pPr>
            <w:r>
              <w:rPr>
                <w:color w:val="000000"/>
              </w:rPr>
              <w:t>MFM</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EABE92" w14:textId="777C0D77" w:rsidR="0022371D" w:rsidRDefault="006A6718" w:rsidP="00644715">
            <w:pPr>
              <w:jc w:val="center"/>
              <w:rPr>
                <w:color w:val="000000"/>
              </w:rPr>
            </w:pPr>
            <w:r>
              <w:rPr>
                <w:color w:val="000000"/>
              </w:rPr>
              <w:t>1 Year</w:t>
            </w:r>
          </w:p>
        </w:tc>
      </w:tr>
      <w:tr w:rsidR="0022371D" w14:paraId="17A54067"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CE0050" w14:textId="77777777" w:rsidR="0022371D" w:rsidRDefault="0022371D" w:rsidP="00644715">
            <w:pPr>
              <w:rPr>
                <w:color w:val="000000"/>
              </w:rPr>
            </w:pPr>
            <w:r>
              <w:rPr>
                <w:color w:val="000000"/>
              </w:rPr>
              <w:t>PHYSICAL/OCCUPATIONAL/SPEECH THERAPY SERVICES</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EEF121" w14:textId="53DAE9CF" w:rsidR="0022371D" w:rsidRDefault="006A6718" w:rsidP="00644715">
            <w:pPr>
              <w:jc w:val="center"/>
              <w:rPr>
                <w:color w:val="000000"/>
              </w:rPr>
            </w:pPr>
            <w:r>
              <w:rPr>
                <w:color w:val="000000"/>
              </w:rPr>
              <w:t>8 Weeks</w:t>
            </w:r>
          </w:p>
        </w:tc>
      </w:tr>
      <w:tr w:rsidR="0022371D" w14:paraId="127F313B"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D26101" w14:textId="77777777" w:rsidR="0022371D" w:rsidRDefault="0022371D" w:rsidP="00644715">
            <w:pPr>
              <w:rPr>
                <w:color w:val="000000"/>
              </w:rPr>
            </w:pPr>
            <w:r>
              <w:rPr>
                <w:color w:val="000000"/>
              </w:rPr>
              <w:lastRenderedPageBreak/>
              <w:t>RESIDENTIAL REHABILITATION/LTAC</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5E1602" w14:textId="43FFA361" w:rsidR="0022371D" w:rsidRDefault="006A6718" w:rsidP="000C036A">
            <w:pPr>
              <w:jc w:val="center"/>
              <w:rPr>
                <w:color w:val="000000"/>
              </w:rPr>
            </w:pPr>
            <w:r w:rsidRPr="0386B53E">
              <w:rPr>
                <w:color w:val="000000" w:themeColor="text1"/>
              </w:rPr>
              <w:t>14 -30 Days (Initial)</w:t>
            </w:r>
            <w:r w:rsidR="00F95555">
              <w:rPr>
                <w:color w:val="000000" w:themeColor="text1"/>
              </w:rPr>
              <w:t xml:space="preserve">; </w:t>
            </w:r>
            <w:r w:rsidRPr="0386B53E">
              <w:rPr>
                <w:color w:val="000000" w:themeColor="text1"/>
              </w:rPr>
              <w:t>7-14 Days (Ongoing)</w:t>
            </w:r>
            <w:r w:rsidR="000C036A">
              <w:rPr>
                <w:color w:val="000000" w:themeColor="text1"/>
              </w:rPr>
              <w:t xml:space="preserve"> </w:t>
            </w:r>
            <w:r w:rsidRPr="0386B53E">
              <w:rPr>
                <w:color w:val="000000" w:themeColor="text1"/>
              </w:rPr>
              <w:t>**Treatment Plan Dependent</w:t>
            </w:r>
          </w:p>
        </w:tc>
      </w:tr>
      <w:tr w:rsidR="0022371D" w14:paraId="27FE43D3"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80144E" w14:textId="77777777" w:rsidR="0022371D" w:rsidRDefault="0022371D" w:rsidP="00644715">
            <w:pPr>
              <w:rPr>
                <w:color w:val="000000"/>
              </w:rPr>
            </w:pPr>
            <w:r>
              <w:rPr>
                <w:color w:val="000000"/>
              </w:rPr>
              <w:t>SKILLED NURSING FACILITY</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97CF73" w14:textId="656462D4" w:rsidR="0022371D" w:rsidRDefault="0022371D" w:rsidP="00644715">
            <w:pPr>
              <w:jc w:val="center"/>
              <w:rPr>
                <w:color w:val="000000"/>
              </w:rPr>
            </w:pPr>
            <w:r>
              <w:rPr>
                <w:color w:val="000000"/>
              </w:rPr>
              <w:t>7</w:t>
            </w:r>
            <w:r w:rsidR="000C036A">
              <w:rPr>
                <w:color w:val="000000"/>
              </w:rPr>
              <w:t xml:space="preserve"> Days (Initial); </w:t>
            </w:r>
            <w:r>
              <w:rPr>
                <w:color w:val="000000"/>
              </w:rPr>
              <w:t>7</w:t>
            </w:r>
            <w:r w:rsidR="000C036A">
              <w:rPr>
                <w:color w:val="000000"/>
              </w:rPr>
              <w:t xml:space="preserve"> Days (Subsequent Ongoing); </w:t>
            </w:r>
            <w:r>
              <w:rPr>
                <w:color w:val="000000"/>
              </w:rPr>
              <w:t xml:space="preserve">6 </w:t>
            </w:r>
            <w:r w:rsidR="000C036A">
              <w:rPr>
                <w:color w:val="000000"/>
              </w:rPr>
              <w:t>D</w:t>
            </w:r>
            <w:r>
              <w:rPr>
                <w:color w:val="000000"/>
              </w:rPr>
              <w:t>ays</w:t>
            </w:r>
            <w:r w:rsidR="000C036A">
              <w:rPr>
                <w:color w:val="000000"/>
              </w:rPr>
              <w:t xml:space="preserve"> (Final Ongoing)</w:t>
            </w:r>
          </w:p>
        </w:tc>
      </w:tr>
      <w:tr w:rsidR="0022371D" w14:paraId="22719AA3" w14:textId="77777777" w:rsidTr="006A6718">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5AB23DA" w14:textId="6B5D2EDE" w:rsidR="00EB7742" w:rsidRPr="006A6718" w:rsidRDefault="0022371D" w:rsidP="00644715">
            <w:pPr>
              <w:rPr>
                <w:b/>
                <w:bCs/>
                <w:color w:val="000000"/>
              </w:rPr>
            </w:pPr>
            <w:r w:rsidRPr="00EB7742">
              <w:rPr>
                <w:b/>
                <w:bCs/>
                <w:color w:val="000000"/>
              </w:rPr>
              <w:t xml:space="preserve">SPECIALIST REFERRALS: </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18B275B" w14:textId="7C9AA9E5" w:rsidR="0022371D" w:rsidRDefault="0022371D" w:rsidP="006A6718">
            <w:pPr>
              <w:jc w:val="center"/>
              <w:rPr>
                <w:color w:val="000000"/>
              </w:rPr>
            </w:pPr>
            <w:r>
              <w:rPr>
                <w:color w:val="000000"/>
              </w:rPr>
              <w:t>6</w:t>
            </w:r>
            <w:r w:rsidR="00EB7742">
              <w:rPr>
                <w:color w:val="000000"/>
              </w:rPr>
              <w:t xml:space="preserve"> </w:t>
            </w:r>
            <w:r w:rsidR="006A6718">
              <w:rPr>
                <w:color w:val="000000"/>
              </w:rPr>
              <w:t>Months – 1 Year</w:t>
            </w:r>
          </w:p>
        </w:tc>
      </w:tr>
      <w:tr w:rsidR="0022371D" w14:paraId="360609B6" w14:textId="77777777" w:rsidTr="0022371D">
        <w:trPr>
          <w:trHeight w:val="300"/>
        </w:trPr>
        <w:tc>
          <w:tcPr>
            <w:tcW w:w="53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7CAF58" w14:textId="77777777" w:rsidR="0022371D" w:rsidRDefault="0022371D" w:rsidP="00644715">
            <w:pPr>
              <w:rPr>
                <w:color w:val="000000"/>
              </w:rPr>
            </w:pPr>
            <w:r>
              <w:rPr>
                <w:color w:val="000000"/>
              </w:rPr>
              <w:t>TRANSPLANTS</w:t>
            </w:r>
          </w:p>
        </w:tc>
        <w:tc>
          <w:tcPr>
            <w:tcW w:w="8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5FBDED" w14:textId="7548FE72" w:rsidR="0022371D" w:rsidRDefault="0022371D" w:rsidP="00644715">
            <w:pPr>
              <w:jc w:val="center"/>
              <w:rPr>
                <w:color w:val="000000"/>
              </w:rPr>
            </w:pPr>
            <w:r w:rsidRPr="314E1DA7">
              <w:rPr>
                <w:color w:val="000000" w:themeColor="text1"/>
              </w:rPr>
              <w:t xml:space="preserve">1 </w:t>
            </w:r>
            <w:r w:rsidR="000C036A">
              <w:rPr>
                <w:color w:val="000000" w:themeColor="text1"/>
              </w:rPr>
              <w:t>Y</w:t>
            </w:r>
            <w:r w:rsidRPr="314E1DA7">
              <w:rPr>
                <w:color w:val="000000" w:themeColor="text1"/>
              </w:rPr>
              <w:t>ear</w:t>
            </w:r>
          </w:p>
        </w:tc>
      </w:tr>
    </w:tbl>
    <w:p w14:paraId="59A2EA95" w14:textId="77777777" w:rsidR="0022371D" w:rsidRPr="0022371D" w:rsidRDefault="0022371D" w:rsidP="0022371D"/>
    <w:p w14:paraId="721B28CC" w14:textId="7F67CA77" w:rsidR="00527693" w:rsidRPr="001F6024" w:rsidRDefault="001F6024" w:rsidP="006C6F9C">
      <w:pPr>
        <w:pStyle w:val="Heading3"/>
        <w:rPr>
          <w:rFonts w:ascii="Arial" w:eastAsiaTheme="minorHAnsi" w:hAnsi="Arial" w:cs="Arial"/>
          <w:b/>
          <w:color w:val="006892"/>
        </w:rPr>
      </w:pPr>
      <w:bookmarkStart w:id="12" w:name="_Toc47830484"/>
      <w:bookmarkStart w:id="13" w:name="_Toc73117832"/>
      <w:r w:rsidRPr="00997FC0">
        <w:rPr>
          <w:rFonts w:ascii="Arial" w:hAnsi="Arial" w:cs="Arial"/>
          <w:b/>
          <w:color w:val="006892"/>
        </w:rPr>
        <w:t>CARE COORDINATION</w:t>
      </w:r>
      <w:bookmarkEnd w:id="12"/>
      <w:bookmarkEnd w:id="13"/>
    </w:p>
    <w:p w14:paraId="551C77D3" w14:textId="28A67BCA" w:rsidR="00F67461" w:rsidRDefault="009E6B83" w:rsidP="00EE1766">
      <w:pPr>
        <w:pStyle w:val="TOC1"/>
        <w:tabs>
          <w:tab w:val="right" w:leader="dot" w:pos="9350"/>
        </w:tabs>
        <w:rPr>
          <w:rFonts w:cs="Times New Roman"/>
          <w:szCs w:val="24"/>
        </w:rPr>
      </w:pPr>
      <w:r>
        <w:rPr>
          <w:rFonts w:cs="Times New Roman"/>
          <w:szCs w:val="24"/>
        </w:rPr>
        <w:t>Through the UM and hospital notification process, UM refers members to UH</w:t>
      </w:r>
      <w:r w:rsidR="001B3470">
        <w:rPr>
          <w:rFonts w:cs="Times New Roman"/>
          <w:szCs w:val="24"/>
        </w:rPr>
        <w:t>A’s Intensive Care Coordinators</w:t>
      </w:r>
      <w:r w:rsidR="00416C57">
        <w:rPr>
          <w:rFonts w:cs="Times New Roman"/>
          <w:szCs w:val="24"/>
        </w:rPr>
        <w:t xml:space="preserve"> </w:t>
      </w:r>
      <w:r w:rsidR="00964701">
        <w:rPr>
          <w:rFonts w:cs="Times New Roman"/>
          <w:szCs w:val="24"/>
        </w:rPr>
        <w:t xml:space="preserve">(ICC) </w:t>
      </w:r>
      <w:r w:rsidR="007E24D8">
        <w:rPr>
          <w:rFonts w:cs="Times New Roman"/>
          <w:szCs w:val="24"/>
        </w:rPr>
        <w:t>within</w:t>
      </w:r>
      <w:r w:rsidR="00416C57">
        <w:rPr>
          <w:rFonts w:cs="Times New Roman"/>
          <w:szCs w:val="24"/>
        </w:rPr>
        <w:t xml:space="preserve"> Arcadia (Care Coordination Platform). </w:t>
      </w:r>
      <w:r w:rsidR="007E24D8">
        <w:rPr>
          <w:rFonts w:cs="Times New Roman"/>
          <w:szCs w:val="24"/>
        </w:rPr>
        <w:t xml:space="preserve">The ICC will work with the member and the care team </w:t>
      </w:r>
      <w:r w:rsidR="00515A38">
        <w:rPr>
          <w:rFonts w:cs="Times New Roman"/>
          <w:szCs w:val="24"/>
        </w:rPr>
        <w:t xml:space="preserve">through care plans, Interdisciplinary teams, </w:t>
      </w:r>
      <w:r w:rsidR="00944C93">
        <w:rPr>
          <w:rFonts w:cs="Times New Roman"/>
          <w:szCs w:val="24"/>
        </w:rPr>
        <w:t xml:space="preserve">and other care coordination </w:t>
      </w:r>
      <w:r w:rsidR="00964701">
        <w:rPr>
          <w:rFonts w:cs="Times New Roman"/>
          <w:szCs w:val="24"/>
        </w:rPr>
        <w:t>activities</w:t>
      </w:r>
      <w:r w:rsidR="00944C93">
        <w:rPr>
          <w:rFonts w:cs="Times New Roman"/>
          <w:szCs w:val="24"/>
        </w:rPr>
        <w:t>.</w:t>
      </w:r>
      <w:r w:rsidR="00964701">
        <w:rPr>
          <w:rFonts w:cs="Times New Roman"/>
          <w:szCs w:val="24"/>
        </w:rPr>
        <w:t xml:space="preserve"> Additionally, UM will refer members </w:t>
      </w:r>
      <w:r w:rsidR="00EE1766">
        <w:rPr>
          <w:rFonts w:cs="Times New Roman"/>
          <w:szCs w:val="24"/>
        </w:rPr>
        <w:t>to,</w:t>
      </w:r>
      <w:r w:rsidR="00964701">
        <w:rPr>
          <w:rFonts w:cs="Times New Roman"/>
          <w:szCs w:val="24"/>
        </w:rPr>
        <w:t xml:space="preserve"> </w:t>
      </w:r>
      <w:r w:rsidR="00EE1766">
        <w:rPr>
          <w:rFonts w:cs="Times New Roman"/>
          <w:szCs w:val="24"/>
        </w:rPr>
        <w:t>if necessary,</w:t>
      </w:r>
      <w:r w:rsidR="00F67461">
        <w:rPr>
          <w:rFonts w:cs="Times New Roman"/>
          <w:szCs w:val="24"/>
        </w:rPr>
        <w:t xml:space="preserve"> identified in the medical notes provided to support the PA request.</w:t>
      </w:r>
    </w:p>
    <w:p w14:paraId="0BAF2EDD" w14:textId="7EF1A838" w:rsidR="00DA2D42" w:rsidRDefault="00DA2D42" w:rsidP="00F84503">
      <w:pPr>
        <w:pStyle w:val="NoSpacing"/>
        <w:rPr>
          <w:rStyle w:val="Hyperlink"/>
          <w:rFonts w:cs="Times New Roman"/>
          <w:noProof/>
          <w:szCs w:val="24"/>
        </w:rPr>
      </w:pPr>
    </w:p>
    <w:p w14:paraId="03CAC241" w14:textId="5E42AFF7" w:rsidR="00F84503" w:rsidRPr="00997FC0" w:rsidRDefault="00274BD3" w:rsidP="00274BD3">
      <w:pPr>
        <w:pStyle w:val="Heading3"/>
        <w:rPr>
          <w:rFonts w:ascii="Arial" w:hAnsi="Arial" w:cs="Arial"/>
          <w:b/>
          <w:color w:val="006892"/>
        </w:rPr>
      </w:pPr>
      <w:r w:rsidRPr="00997FC0">
        <w:rPr>
          <w:rFonts w:ascii="Arial" w:hAnsi="Arial" w:cs="Arial"/>
          <w:b/>
          <w:color w:val="006892"/>
        </w:rPr>
        <w:t xml:space="preserve">UTILIZATION MANAGEMENT SYSTEM </w:t>
      </w:r>
      <w:r w:rsidR="00FF2E71" w:rsidRPr="00997FC0">
        <w:rPr>
          <w:rFonts w:ascii="Arial" w:hAnsi="Arial" w:cs="Arial"/>
          <w:b/>
          <w:color w:val="006892"/>
        </w:rPr>
        <w:t xml:space="preserve">&amp; RELATED </w:t>
      </w:r>
      <w:r w:rsidRPr="00997FC0">
        <w:rPr>
          <w:rFonts w:ascii="Arial" w:hAnsi="Arial" w:cs="Arial"/>
          <w:b/>
          <w:color w:val="006892"/>
        </w:rPr>
        <w:t>POLICES</w:t>
      </w:r>
    </w:p>
    <w:p w14:paraId="14800E7C" w14:textId="4011FEE1" w:rsidR="00274BD3" w:rsidRDefault="00274BD3" w:rsidP="00F84503">
      <w:pPr>
        <w:spacing w:after="0"/>
      </w:pPr>
      <w:r>
        <w:t>CE01 – Grievances, Appeals, and Hearings</w:t>
      </w:r>
    </w:p>
    <w:p w14:paraId="6F53B1DE" w14:textId="01A7540D" w:rsidR="00F84503" w:rsidRPr="00F84503" w:rsidRDefault="00F84503" w:rsidP="00F84503">
      <w:pPr>
        <w:spacing w:after="0"/>
      </w:pPr>
      <w:r w:rsidRPr="00F84503">
        <w:t>CE04 - Outpatient Behavioral Health Services Prior Authorization</w:t>
      </w:r>
    </w:p>
    <w:p w14:paraId="78DB90B9" w14:textId="2707B29E" w:rsidR="00F84503" w:rsidRPr="00F84503" w:rsidRDefault="00F84503" w:rsidP="00F84503">
      <w:pPr>
        <w:spacing w:after="0"/>
      </w:pPr>
      <w:r w:rsidRPr="00F84503">
        <w:t>CE05 - Medical and Pharmacy Review</w:t>
      </w:r>
    </w:p>
    <w:p w14:paraId="1A4C0BCF" w14:textId="3528427A" w:rsidR="00F84503" w:rsidRPr="00F84503" w:rsidRDefault="00F84503" w:rsidP="00F84503">
      <w:pPr>
        <w:spacing w:after="0"/>
      </w:pPr>
      <w:r w:rsidRPr="00F84503">
        <w:t>CE06 - Children and Youth Behavioral Health Services</w:t>
      </w:r>
    </w:p>
    <w:p w14:paraId="726DCEC0" w14:textId="169CDAD4" w:rsidR="00F84503" w:rsidRPr="00F84503" w:rsidRDefault="00F84503" w:rsidP="00F84503">
      <w:pPr>
        <w:spacing w:after="0"/>
      </w:pPr>
      <w:r w:rsidRPr="00F84503">
        <w:t>CE07 - Other Benefits Not Covered by UHA</w:t>
      </w:r>
    </w:p>
    <w:p w14:paraId="79A191AF" w14:textId="2E6ACA87" w:rsidR="00F84503" w:rsidRPr="00F84503" w:rsidRDefault="00F84503" w:rsidP="00F84503">
      <w:pPr>
        <w:spacing w:after="0"/>
      </w:pPr>
      <w:r w:rsidRPr="00F84503">
        <w:t>CE08 - Behavioral Health Provider Requirements</w:t>
      </w:r>
    </w:p>
    <w:p w14:paraId="413E383F" w14:textId="6C24CD24" w:rsidR="00F84503" w:rsidRPr="00F84503" w:rsidRDefault="00F84503" w:rsidP="00F84503">
      <w:pPr>
        <w:spacing w:after="0"/>
      </w:pPr>
      <w:r w:rsidRPr="00F84503">
        <w:t>CE10 - Second Opinion for Health Care Services</w:t>
      </w:r>
    </w:p>
    <w:p w14:paraId="0B00AF3E" w14:textId="347AAF29" w:rsidR="00F84503" w:rsidRPr="00F84503" w:rsidRDefault="00F84503" w:rsidP="00F84503">
      <w:pPr>
        <w:spacing w:after="0"/>
      </w:pPr>
      <w:r w:rsidRPr="00F84503">
        <w:t>CE11 - Out of Network Services</w:t>
      </w:r>
    </w:p>
    <w:p w14:paraId="344F95A5" w14:textId="64DE7F1B" w:rsidR="00F84503" w:rsidRPr="00F84503" w:rsidRDefault="00F84503" w:rsidP="00F84503">
      <w:pPr>
        <w:spacing w:after="0"/>
      </w:pPr>
      <w:r w:rsidRPr="00F84503">
        <w:t>CE12 - Prior Authorization</w:t>
      </w:r>
    </w:p>
    <w:p w14:paraId="6C2CB6A7" w14:textId="30C8894B" w:rsidR="00F84503" w:rsidRPr="00F84503" w:rsidRDefault="00F84503" w:rsidP="00F84503">
      <w:pPr>
        <w:spacing w:after="0"/>
      </w:pPr>
      <w:r w:rsidRPr="00F84503">
        <w:t>CE13 - Emergency Care and Post Stabilization</w:t>
      </w:r>
    </w:p>
    <w:p w14:paraId="547E7D3F" w14:textId="6444F639" w:rsidR="00F84503" w:rsidRPr="00F84503" w:rsidRDefault="00F84503" w:rsidP="00F84503">
      <w:pPr>
        <w:spacing w:after="0"/>
      </w:pPr>
      <w:r w:rsidRPr="00F84503">
        <w:t>CE15 -  Specialty Health Care Services</w:t>
      </w:r>
    </w:p>
    <w:p w14:paraId="3E8BD018" w14:textId="1D525849" w:rsidR="00F84503" w:rsidRPr="00F84503" w:rsidRDefault="00F84503" w:rsidP="00F84503">
      <w:pPr>
        <w:spacing w:after="0"/>
      </w:pPr>
      <w:r w:rsidRPr="00F84503">
        <w:t>CE17- Single-Case Agreements</w:t>
      </w:r>
    </w:p>
    <w:p w14:paraId="66A2CB01" w14:textId="4BA0B587" w:rsidR="00F84503" w:rsidRPr="00F84503" w:rsidRDefault="00F84503" w:rsidP="00F84503">
      <w:pPr>
        <w:spacing w:after="0"/>
      </w:pPr>
      <w:r w:rsidRPr="00F84503">
        <w:t>CE19 - Substance Use Disorder Services</w:t>
      </w:r>
    </w:p>
    <w:p w14:paraId="0E52DFCD" w14:textId="1B6D206F" w:rsidR="00F84503" w:rsidRPr="00F84503" w:rsidRDefault="00F84503" w:rsidP="00F84503">
      <w:pPr>
        <w:spacing w:after="0"/>
      </w:pPr>
      <w:r w:rsidRPr="00F84503">
        <w:t>CE21 - Adverse Benefit Determinations</w:t>
      </w:r>
    </w:p>
    <w:p w14:paraId="1C60674F" w14:textId="5D451B2E" w:rsidR="00F84503" w:rsidRPr="00F84503" w:rsidRDefault="00F84503" w:rsidP="00F84503">
      <w:pPr>
        <w:spacing w:after="0"/>
      </w:pPr>
      <w:r w:rsidRPr="00F84503">
        <w:t>CE22 - Payment &amp; Authorization for Hospital Admission</w:t>
      </w:r>
    </w:p>
    <w:p w14:paraId="3967FF24" w14:textId="624EFA2B" w:rsidR="00F84503" w:rsidRPr="00F84503" w:rsidRDefault="00F84503" w:rsidP="00F84503">
      <w:pPr>
        <w:spacing w:after="0"/>
      </w:pPr>
      <w:r w:rsidRPr="00F84503">
        <w:t>CE23 - Payment and Authorization of Inpatient Psychiatric Hospital</w:t>
      </w:r>
    </w:p>
    <w:p w14:paraId="65B3DFD1" w14:textId="50A85794" w:rsidR="00F84503" w:rsidRPr="00F84503" w:rsidRDefault="00F84503" w:rsidP="00F84503">
      <w:pPr>
        <w:spacing w:after="0"/>
      </w:pPr>
      <w:r w:rsidRPr="00F84503">
        <w:lastRenderedPageBreak/>
        <w:t>CE24 - Mental Health Parity</w:t>
      </w:r>
    </w:p>
    <w:p w14:paraId="095DBE3A" w14:textId="1AEFFDC2" w:rsidR="00F84503" w:rsidRPr="00F84503" w:rsidRDefault="00F84503" w:rsidP="00F84503">
      <w:pPr>
        <w:spacing w:after="0"/>
      </w:pPr>
      <w:r w:rsidRPr="00F84503">
        <w:t>CE28 - Transition of Care</w:t>
      </w:r>
    </w:p>
    <w:p w14:paraId="173250EA" w14:textId="12440ABB" w:rsidR="00F84503" w:rsidRPr="00F84503" w:rsidRDefault="00F84503" w:rsidP="00F84503">
      <w:pPr>
        <w:spacing w:after="0"/>
      </w:pPr>
      <w:r w:rsidRPr="00F84503">
        <w:t>QI02 - Over and Under Utilization</w:t>
      </w:r>
    </w:p>
    <w:p w14:paraId="17CF7025" w14:textId="3176E4B7" w:rsidR="00F84503" w:rsidRDefault="00F84503" w:rsidP="00F84503">
      <w:pPr>
        <w:spacing w:after="0"/>
      </w:pPr>
      <w:r w:rsidRPr="00F84503">
        <w:t>QI06 - Clinical Practice Guidelines</w:t>
      </w:r>
    </w:p>
    <w:p w14:paraId="393120FD" w14:textId="5F09B84E" w:rsidR="00CB0A86" w:rsidRDefault="00CB0A86" w:rsidP="00F84503">
      <w:pPr>
        <w:spacing w:after="0"/>
      </w:pPr>
      <w:r>
        <w:t xml:space="preserve">MS2 – Nondiscrimination </w:t>
      </w:r>
      <w:r w:rsidR="0075542E">
        <w:t>of Members</w:t>
      </w:r>
    </w:p>
    <w:p w14:paraId="3237EF5A" w14:textId="6B155BCA" w:rsidR="000262EC" w:rsidRDefault="000262EC" w:rsidP="00F84503">
      <w:pPr>
        <w:spacing w:after="0"/>
      </w:pPr>
      <w:r>
        <w:t>MS</w:t>
      </w:r>
      <w:r w:rsidR="00CB0A86">
        <w:t>4 – Written Notices to Members</w:t>
      </w:r>
    </w:p>
    <w:p w14:paraId="2D6F51D0" w14:textId="60302135" w:rsidR="00CB0A86" w:rsidRPr="00DA2D42" w:rsidRDefault="00CB0A86" w:rsidP="00F84503">
      <w:pPr>
        <w:spacing w:after="0"/>
      </w:pPr>
      <w:r>
        <w:t>PN6 – Provider Orientation and Training</w:t>
      </w:r>
    </w:p>
    <w:p w14:paraId="6A39B64D" w14:textId="2662B974" w:rsidR="005E5EB3" w:rsidRPr="00BA6A3F" w:rsidRDefault="005E5EB3" w:rsidP="006C6F9C">
      <w:pPr>
        <w:pBdr>
          <w:between w:val="single" w:sz="4" w:space="1" w:color="auto"/>
          <w:bar w:val="single" w:sz="4" w:color="auto"/>
        </w:pBdr>
        <w:rPr>
          <w:rFonts w:cs="Times New Roman"/>
          <w:b/>
          <w:bCs/>
          <w:szCs w:val="24"/>
        </w:rPr>
      </w:pPr>
    </w:p>
    <w:sectPr w:rsidR="005E5EB3" w:rsidRPr="00BA6A3F" w:rsidSect="003B4FF0">
      <w:headerReference w:type="default" r:id="rId31"/>
      <w:footerReference w:type="default" r:id="rId32"/>
      <w:headerReference w:type="first" r:id="rId33"/>
      <w:footerReference w:type="first" r:id="rId34"/>
      <w:pgSz w:w="15840" w:h="12240" w:orient="landscape"/>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797D5" w14:textId="77777777" w:rsidR="00DF0A4F" w:rsidRDefault="00DF0A4F" w:rsidP="00110B47">
      <w:pPr>
        <w:spacing w:after="0" w:line="240" w:lineRule="auto"/>
      </w:pPr>
      <w:r>
        <w:separator/>
      </w:r>
    </w:p>
  </w:endnote>
  <w:endnote w:type="continuationSeparator" w:id="0">
    <w:p w14:paraId="3FA02B8A" w14:textId="77777777" w:rsidR="00DF0A4F" w:rsidRDefault="00DF0A4F" w:rsidP="00110B47">
      <w:pPr>
        <w:spacing w:after="0" w:line="240" w:lineRule="auto"/>
      </w:pPr>
      <w:r>
        <w:continuationSeparator/>
      </w:r>
    </w:p>
  </w:endnote>
  <w:endnote w:type="continuationNotice" w:id="1">
    <w:p w14:paraId="3B917D1E" w14:textId="77777777" w:rsidR="00DF0A4F" w:rsidRDefault="00DF0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Arial"/>
    <w:panose1 w:val="020F0502020204030204"/>
    <w:charset w:val="00"/>
    <w:family w:val="swiss"/>
    <w:pitch w:val="variable"/>
    <w:sig w:usb0="E4002EFF" w:usb1="C000247B" w:usb2="00000009" w:usb3="00000000" w:csb0="000001FF" w:csb1="00000000"/>
  </w:font>
  <w:font w:name="Arial">
    <w:altName w:val="helevtica"/>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368589"/>
      <w:docPartObj>
        <w:docPartGallery w:val="Page Numbers (Bottom of Page)"/>
        <w:docPartUnique/>
      </w:docPartObj>
    </w:sdtPr>
    <w:sdtEndPr>
      <w:rPr>
        <w:color w:val="7F7F7F" w:themeColor="background1" w:themeShade="7F"/>
        <w:spacing w:val="60"/>
      </w:rPr>
    </w:sdtEndPr>
    <w:sdtContent>
      <w:p w14:paraId="6BA46596" w14:textId="0DEFB7D4" w:rsidR="00E13040" w:rsidRDefault="00E13040">
        <w:pPr>
          <w:pStyle w:val="Footer"/>
          <w:pBdr>
            <w:top w:val="single" w:sz="4" w:space="1" w:color="D9D9D9" w:themeColor="background1" w:themeShade="D9"/>
          </w:pBdr>
          <w:jc w:val="right"/>
        </w:pPr>
        <w:r>
          <w:fldChar w:fldCharType="begin"/>
        </w:r>
        <w:r>
          <w:instrText xml:space="preserve"> PAGE   \* MERGEFORMAT </w:instrText>
        </w:r>
        <w:r>
          <w:fldChar w:fldCharType="separate"/>
        </w:r>
        <w:r w:rsidR="00366F57">
          <w:rPr>
            <w:noProof/>
          </w:rPr>
          <w:t>121</w:t>
        </w:r>
        <w:r>
          <w:rPr>
            <w:noProof/>
          </w:rPr>
          <w:fldChar w:fldCharType="end"/>
        </w:r>
        <w:r>
          <w:t xml:space="preserve"> | </w:t>
        </w:r>
        <w:r>
          <w:rPr>
            <w:color w:val="7F7F7F" w:themeColor="background1" w:themeShade="7F"/>
            <w:spacing w:val="60"/>
          </w:rPr>
          <w:t>Page</w:t>
        </w:r>
      </w:p>
    </w:sdtContent>
  </w:sdt>
  <w:p w14:paraId="1CDA2F25" w14:textId="77777777" w:rsidR="00E13040" w:rsidRDefault="00E13040" w:rsidP="003B4FA7">
    <w:pPr>
      <w:pStyle w:val="Footer"/>
      <w:tabs>
        <w:tab w:val="clear" w:pos="4680"/>
        <w:tab w:val="clear" w:pos="9360"/>
        <w:tab w:val="left" w:pos="717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5C35C53" w14:paraId="27951C65" w14:textId="77777777" w:rsidTr="65C35C53">
      <w:tc>
        <w:tcPr>
          <w:tcW w:w="3120" w:type="dxa"/>
        </w:tcPr>
        <w:p w14:paraId="1B5B62F8" w14:textId="51967DDB" w:rsidR="65C35C53" w:rsidRDefault="65C35C53" w:rsidP="65C35C53">
          <w:pPr>
            <w:pStyle w:val="Header"/>
            <w:ind w:left="-115"/>
            <w:rPr>
              <w:rFonts w:eastAsia="Calibri" w:cs="Arial"/>
              <w:szCs w:val="24"/>
            </w:rPr>
          </w:pPr>
        </w:p>
      </w:tc>
      <w:tc>
        <w:tcPr>
          <w:tcW w:w="3120" w:type="dxa"/>
        </w:tcPr>
        <w:p w14:paraId="5120EBB9" w14:textId="65102DD2" w:rsidR="65C35C53" w:rsidRDefault="65C35C53" w:rsidP="65C35C53">
          <w:pPr>
            <w:pStyle w:val="Header"/>
            <w:jc w:val="center"/>
            <w:rPr>
              <w:rFonts w:eastAsia="Calibri" w:cs="Arial"/>
              <w:szCs w:val="24"/>
            </w:rPr>
          </w:pPr>
        </w:p>
      </w:tc>
      <w:tc>
        <w:tcPr>
          <w:tcW w:w="3120" w:type="dxa"/>
        </w:tcPr>
        <w:p w14:paraId="1A1DCA1F" w14:textId="1C7088ED" w:rsidR="65C35C53" w:rsidRDefault="65C35C53" w:rsidP="65C35C53">
          <w:pPr>
            <w:pStyle w:val="Header"/>
            <w:ind w:right="-115"/>
            <w:jc w:val="right"/>
            <w:rPr>
              <w:rFonts w:eastAsia="Calibri" w:cs="Arial"/>
              <w:szCs w:val="24"/>
            </w:rPr>
          </w:pPr>
        </w:p>
      </w:tc>
    </w:tr>
  </w:tbl>
  <w:p w14:paraId="1FB8C5AB" w14:textId="4AF4F406" w:rsidR="65C35C53" w:rsidRDefault="65C35C53" w:rsidP="65C35C53">
    <w:pPr>
      <w:pStyle w:val="Footer"/>
      <w:rPr>
        <w:rFonts w:eastAsia="Calibri" w:cs="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AE0A2" w14:textId="77777777" w:rsidR="00DF0A4F" w:rsidRDefault="00DF0A4F" w:rsidP="00110B47">
      <w:pPr>
        <w:spacing w:after="0" w:line="240" w:lineRule="auto"/>
      </w:pPr>
      <w:r>
        <w:separator/>
      </w:r>
    </w:p>
  </w:footnote>
  <w:footnote w:type="continuationSeparator" w:id="0">
    <w:p w14:paraId="3F917AB0" w14:textId="77777777" w:rsidR="00DF0A4F" w:rsidRDefault="00DF0A4F" w:rsidP="00110B47">
      <w:pPr>
        <w:spacing w:after="0" w:line="240" w:lineRule="auto"/>
      </w:pPr>
      <w:r>
        <w:continuationSeparator/>
      </w:r>
    </w:p>
  </w:footnote>
  <w:footnote w:type="continuationNotice" w:id="1">
    <w:p w14:paraId="229272CD" w14:textId="77777777" w:rsidR="00DF0A4F" w:rsidRDefault="00DF0A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3454" w14:textId="77777777" w:rsidR="00E13040" w:rsidRDefault="00E13040" w:rsidP="003B4FA7">
    <w:pPr>
      <w:pStyle w:val="Header"/>
      <w:tabs>
        <w:tab w:val="clear" w:pos="4680"/>
      </w:tabs>
    </w:pPr>
    <w:r w:rsidRPr="009751B2">
      <w:rPr>
        <w:noProof/>
      </w:rPr>
      <w:drawing>
        <wp:anchor distT="0" distB="0" distL="114300" distR="114300" simplePos="0" relativeHeight="251658240" behindDoc="1" locked="0" layoutInCell="1" allowOverlap="1" wp14:anchorId="3A45F94C" wp14:editId="29799C45">
          <wp:simplePos x="0" y="0"/>
          <wp:positionH relativeFrom="page">
            <wp:posOffset>7952</wp:posOffset>
          </wp:positionH>
          <wp:positionV relativeFrom="paragraph">
            <wp:posOffset>-469127</wp:posOffset>
          </wp:positionV>
          <wp:extent cx="7777480" cy="10648950"/>
          <wp:effectExtent l="0" t="0" r="0" b="0"/>
          <wp:wrapNone/>
          <wp:docPr id="30" name="Picture 30" descr="18392_UHA_Letterhead_PAGE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92_UHA_Letterhead_PAGE2.pdf"/>
                  <pic:cNvPicPr/>
                </pic:nvPicPr>
                <pic:blipFill>
                  <a:blip r:embed="rId1"/>
                  <a:stretch>
                    <a:fillRect/>
                  </a:stretch>
                </pic:blipFill>
                <pic:spPr>
                  <a:xfrm>
                    <a:off x="0" y="0"/>
                    <a:ext cx="7777480" cy="10648950"/>
                  </a:xfrm>
                  <a:prstGeom prst="rect">
                    <a:avLst/>
                  </a:prstGeom>
                </pic:spPr>
              </pic:pic>
            </a:graphicData>
          </a:graphic>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A125" w14:textId="33D68045" w:rsidR="65C35C53" w:rsidRDefault="00364AE1" w:rsidP="65C35C53">
    <w:pPr>
      <w:pStyle w:val="Header"/>
      <w:rPr>
        <w:rFonts w:eastAsia="Calibri" w:cs="Arial"/>
        <w:szCs w:val="24"/>
      </w:rPr>
    </w:pPr>
    <w:r>
      <w:rPr>
        <w:noProof/>
      </w:rPr>
      <w:drawing>
        <wp:anchor distT="0" distB="0" distL="114300" distR="114300" simplePos="0" relativeHeight="251659264" behindDoc="0" locked="0" layoutInCell="1" allowOverlap="1" wp14:anchorId="4703A045" wp14:editId="3F6C6492">
          <wp:simplePos x="0" y="0"/>
          <wp:positionH relativeFrom="page">
            <wp:align>right</wp:align>
          </wp:positionH>
          <wp:positionV relativeFrom="paragraph">
            <wp:posOffset>-372508</wp:posOffset>
          </wp:positionV>
          <wp:extent cx="10059525" cy="948453"/>
          <wp:effectExtent l="0" t="0" r="0" b="4445"/>
          <wp:wrapNone/>
          <wp:docPr id="6" name="Picture 6" descr="Logo, 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059525" cy="9484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C75"/>
    <w:multiLevelType w:val="hybridMultilevel"/>
    <w:tmpl w:val="9CDE7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C0D39"/>
    <w:multiLevelType w:val="hybridMultilevel"/>
    <w:tmpl w:val="275C7746"/>
    <w:lvl w:ilvl="0" w:tplc="6680AF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92C2E"/>
    <w:multiLevelType w:val="multilevel"/>
    <w:tmpl w:val="F664F53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3A35A3B"/>
    <w:multiLevelType w:val="hybridMultilevel"/>
    <w:tmpl w:val="471C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93327"/>
    <w:multiLevelType w:val="hybridMultilevel"/>
    <w:tmpl w:val="37F2AB0E"/>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CA374DE"/>
    <w:multiLevelType w:val="hybridMultilevel"/>
    <w:tmpl w:val="FBE08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82672"/>
    <w:multiLevelType w:val="hybridMultilevel"/>
    <w:tmpl w:val="1CE4A5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BE34D3"/>
    <w:multiLevelType w:val="hybridMultilevel"/>
    <w:tmpl w:val="DA84AEBC"/>
    <w:lvl w:ilvl="0" w:tplc="64E8B866">
      <w:start w:val="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AB40B7"/>
    <w:multiLevelType w:val="hybridMultilevel"/>
    <w:tmpl w:val="6F127BF0"/>
    <w:lvl w:ilvl="0" w:tplc="44E8F4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A18AA"/>
    <w:multiLevelType w:val="multilevel"/>
    <w:tmpl w:val="902C7FA4"/>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b w:val="0"/>
        <w:i w:val="0"/>
      </w:rPr>
    </w:lvl>
    <w:lvl w:ilvl="2">
      <w:start w:val="1"/>
      <w:numFmt w:val="lowerRoman"/>
      <w:lvlText w:val="%3."/>
      <w:lvlJc w:val="left"/>
      <w:pPr>
        <w:ind w:left="2160" w:hanging="360"/>
      </w:pPr>
      <w:rPr>
        <w:rFonts w:hint="default"/>
        <w:b w:val="0"/>
      </w:rPr>
    </w:lvl>
    <w:lvl w:ilvl="3">
      <w:start w:val="1"/>
      <w:numFmt w:val="lowerRoman"/>
      <w:lvlText w:val="%4."/>
      <w:lvlJc w:val="left"/>
      <w:pPr>
        <w:ind w:left="2880" w:hanging="360"/>
      </w:pPr>
      <w:rPr>
        <w:rFonts w:hint="default"/>
        <w:b w:val="0"/>
      </w:rPr>
    </w:lvl>
    <w:lvl w:ilvl="4">
      <w:start w:val="1"/>
      <w:numFmt w:val="lowerLetter"/>
      <w:lvlText w:val="%5."/>
      <w:lvlJc w:val="left"/>
      <w:pPr>
        <w:ind w:left="3600" w:hanging="360"/>
      </w:pPr>
      <w:rPr>
        <w:rFonts w:hint="default"/>
        <w:b w:val="0"/>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0" w15:restartNumberingAfterBreak="0">
    <w:nsid w:val="50B90D28"/>
    <w:multiLevelType w:val="hybridMultilevel"/>
    <w:tmpl w:val="47D07CDC"/>
    <w:lvl w:ilvl="0" w:tplc="FFFFFFFF">
      <w:start w:val="1"/>
      <w:numFmt w:val="decimal"/>
      <w:lvlText w:val="%1."/>
      <w:lvlJc w:val="left"/>
      <w:pPr>
        <w:ind w:left="630" w:hanging="360"/>
      </w:pPr>
      <w:rPr>
        <w:rFonts w:hint="default"/>
        <w:color w:val="auto"/>
      </w:rPr>
    </w:lvl>
    <w:lvl w:ilvl="1" w:tplc="FFFFFFFF">
      <w:start w:val="1"/>
      <w:numFmt w:val="lowerLetter"/>
      <w:lvlText w:val="%2."/>
      <w:lvlJc w:val="left"/>
      <w:pPr>
        <w:ind w:left="1440" w:hanging="360"/>
      </w:pPr>
      <w:rPr>
        <w:b w:val="0"/>
      </w:rPr>
    </w:lvl>
    <w:lvl w:ilvl="2" w:tplc="FFFFFFFF">
      <w:start w:val="1"/>
      <w:numFmt w:val="lowerRoman"/>
      <w:lvlText w:val="%3."/>
      <w:lvlJc w:val="right"/>
      <w:pPr>
        <w:ind w:left="2070" w:hanging="180"/>
      </w:pPr>
    </w:lvl>
    <w:lvl w:ilvl="3" w:tplc="FFFFFFFF">
      <w:start w:val="1"/>
      <w:numFmt w:val="decimal"/>
      <w:lvlText w:val="%4."/>
      <w:lvlJc w:val="left"/>
      <w:pPr>
        <w:ind w:left="2880" w:hanging="360"/>
      </w:pPr>
      <w:rPr>
        <w:b w:val="0"/>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6A20FA"/>
    <w:multiLevelType w:val="hybridMultilevel"/>
    <w:tmpl w:val="BDD6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86277"/>
    <w:multiLevelType w:val="hybridMultilevel"/>
    <w:tmpl w:val="60983B24"/>
    <w:lvl w:ilvl="0" w:tplc="44E8F4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75CA5"/>
    <w:multiLevelType w:val="hybridMultilevel"/>
    <w:tmpl w:val="79AAE2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A7F99"/>
    <w:multiLevelType w:val="hybridMultilevel"/>
    <w:tmpl w:val="BDEA3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551D7C"/>
    <w:multiLevelType w:val="hybridMultilevel"/>
    <w:tmpl w:val="39EC9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DC06B9"/>
    <w:multiLevelType w:val="hybridMultilevel"/>
    <w:tmpl w:val="3B74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5E594F"/>
    <w:multiLevelType w:val="hybridMultilevel"/>
    <w:tmpl w:val="F4FA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DB61B88"/>
    <w:multiLevelType w:val="hybridMultilevel"/>
    <w:tmpl w:val="EE60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CE4D32"/>
    <w:multiLevelType w:val="hybridMultilevel"/>
    <w:tmpl w:val="8526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D634C1"/>
    <w:multiLevelType w:val="hybridMultilevel"/>
    <w:tmpl w:val="FF24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92828">
    <w:abstractNumId w:val="13"/>
  </w:num>
  <w:num w:numId="2" w16cid:durableId="1978410671">
    <w:abstractNumId w:val="9"/>
  </w:num>
  <w:num w:numId="3" w16cid:durableId="2137746798">
    <w:abstractNumId w:val="2"/>
  </w:num>
  <w:num w:numId="4" w16cid:durableId="1874877013">
    <w:abstractNumId w:val="10"/>
  </w:num>
  <w:num w:numId="5" w16cid:durableId="1734809446">
    <w:abstractNumId w:val="11"/>
  </w:num>
  <w:num w:numId="6" w16cid:durableId="471600996">
    <w:abstractNumId w:val="3"/>
  </w:num>
  <w:num w:numId="7" w16cid:durableId="1146432629">
    <w:abstractNumId w:val="1"/>
  </w:num>
  <w:num w:numId="8" w16cid:durableId="1212960631">
    <w:abstractNumId w:val="5"/>
  </w:num>
  <w:num w:numId="9" w16cid:durableId="752816736">
    <w:abstractNumId w:val="4"/>
  </w:num>
  <w:num w:numId="10" w16cid:durableId="2124884463">
    <w:abstractNumId w:val="20"/>
  </w:num>
  <w:num w:numId="11" w16cid:durableId="1902599530">
    <w:abstractNumId w:val="16"/>
  </w:num>
  <w:num w:numId="12" w16cid:durableId="933585648">
    <w:abstractNumId w:val="12"/>
  </w:num>
  <w:num w:numId="13" w16cid:durableId="980116201">
    <w:abstractNumId w:val="8"/>
  </w:num>
  <w:num w:numId="14" w16cid:durableId="35278665">
    <w:abstractNumId w:val="18"/>
  </w:num>
  <w:num w:numId="15" w16cid:durableId="1610088861">
    <w:abstractNumId w:val="0"/>
  </w:num>
  <w:num w:numId="16" w16cid:durableId="1767654939">
    <w:abstractNumId w:val="7"/>
  </w:num>
  <w:num w:numId="17" w16cid:durableId="857894170">
    <w:abstractNumId w:val="15"/>
  </w:num>
  <w:num w:numId="18" w16cid:durableId="362488561">
    <w:abstractNumId w:val="6"/>
  </w:num>
  <w:num w:numId="19" w16cid:durableId="20328470">
    <w:abstractNumId w:val="17"/>
  </w:num>
  <w:num w:numId="20" w16cid:durableId="1763722744">
    <w:abstractNumId w:val="19"/>
  </w:num>
  <w:num w:numId="21" w16cid:durableId="90761897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B47"/>
    <w:rsid w:val="00000BF6"/>
    <w:rsid w:val="000016B9"/>
    <w:rsid w:val="00003435"/>
    <w:rsid w:val="00003AC6"/>
    <w:rsid w:val="00004144"/>
    <w:rsid w:val="00005253"/>
    <w:rsid w:val="00005D6D"/>
    <w:rsid w:val="00010272"/>
    <w:rsid w:val="000123C8"/>
    <w:rsid w:val="00012BE5"/>
    <w:rsid w:val="0001306D"/>
    <w:rsid w:val="00013081"/>
    <w:rsid w:val="0001459A"/>
    <w:rsid w:val="00014B7B"/>
    <w:rsid w:val="00014D50"/>
    <w:rsid w:val="000151CE"/>
    <w:rsid w:val="00015523"/>
    <w:rsid w:val="00015C43"/>
    <w:rsid w:val="0002068B"/>
    <w:rsid w:val="000262EC"/>
    <w:rsid w:val="00027457"/>
    <w:rsid w:val="00027F5F"/>
    <w:rsid w:val="00031827"/>
    <w:rsid w:val="0003282B"/>
    <w:rsid w:val="00035A3D"/>
    <w:rsid w:val="00036BED"/>
    <w:rsid w:val="00040175"/>
    <w:rsid w:val="000402C3"/>
    <w:rsid w:val="00040779"/>
    <w:rsid w:val="000425EE"/>
    <w:rsid w:val="00043372"/>
    <w:rsid w:val="00043C17"/>
    <w:rsid w:val="00044B20"/>
    <w:rsid w:val="00044CBD"/>
    <w:rsid w:val="00044E77"/>
    <w:rsid w:val="00045B95"/>
    <w:rsid w:val="00046A33"/>
    <w:rsid w:val="000506D6"/>
    <w:rsid w:val="00050C7D"/>
    <w:rsid w:val="00053B40"/>
    <w:rsid w:val="00055F73"/>
    <w:rsid w:val="00060ABC"/>
    <w:rsid w:val="00063D69"/>
    <w:rsid w:val="000652A6"/>
    <w:rsid w:val="00065BB2"/>
    <w:rsid w:val="00067327"/>
    <w:rsid w:val="0007019B"/>
    <w:rsid w:val="000730CE"/>
    <w:rsid w:val="00074114"/>
    <w:rsid w:val="00075A54"/>
    <w:rsid w:val="000777E0"/>
    <w:rsid w:val="00080B39"/>
    <w:rsid w:val="00082C5E"/>
    <w:rsid w:val="000845B4"/>
    <w:rsid w:val="00084EF7"/>
    <w:rsid w:val="000862F7"/>
    <w:rsid w:val="00086534"/>
    <w:rsid w:val="00093469"/>
    <w:rsid w:val="00093817"/>
    <w:rsid w:val="00095F01"/>
    <w:rsid w:val="000A0C31"/>
    <w:rsid w:val="000A48D6"/>
    <w:rsid w:val="000A6439"/>
    <w:rsid w:val="000A6579"/>
    <w:rsid w:val="000A6E57"/>
    <w:rsid w:val="000A7443"/>
    <w:rsid w:val="000B2807"/>
    <w:rsid w:val="000B5AEB"/>
    <w:rsid w:val="000B6CD3"/>
    <w:rsid w:val="000B7569"/>
    <w:rsid w:val="000B784E"/>
    <w:rsid w:val="000C036A"/>
    <w:rsid w:val="000C2C5A"/>
    <w:rsid w:val="000C5300"/>
    <w:rsid w:val="000C556F"/>
    <w:rsid w:val="000C69C1"/>
    <w:rsid w:val="000C7F7C"/>
    <w:rsid w:val="000D0A32"/>
    <w:rsid w:val="000D1893"/>
    <w:rsid w:val="000D26EB"/>
    <w:rsid w:val="000D2D91"/>
    <w:rsid w:val="000D414B"/>
    <w:rsid w:val="000D4D6E"/>
    <w:rsid w:val="000D63A7"/>
    <w:rsid w:val="000D731C"/>
    <w:rsid w:val="000E2AA5"/>
    <w:rsid w:val="000E2AD8"/>
    <w:rsid w:val="000E42AC"/>
    <w:rsid w:val="000E5396"/>
    <w:rsid w:val="000E7F76"/>
    <w:rsid w:val="000F51B6"/>
    <w:rsid w:val="000F5E24"/>
    <w:rsid w:val="000F7999"/>
    <w:rsid w:val="0010003C"/>
    <w:rsid w:val="001002C5"/>
    <w:rsid w:val="00101349"/>
    <w:rsid w:val="001033E7"/>
    <w:rsid w:val="00103624"/>
    <w:rsid w:val="00104488"/>
    <w:rsid w:val="0010483F"/>
    <w:rsid w:val="00104BEE"/>
    <w:rsid w:val="00105B60"/>
    <w:rsid w:val="00105F9F"/>
    <w:rsid w:val="001069D7"/>
    <w:rsid w:val="00106AB6"/>
    <w:rsid w:val="00107E2E"/>
    <w:rsid w:val="00110B47"/>
    <w:rsid w:val="00111263"/>
    <w:rsid w:val="00113CD5"/>
    <w:rsid w:val="00121BC6"/>
    <w:rsid w:val="00123206"/>
    <w:rsid w:val="001241AF"/>
    <w:rsid w:val="001246C8"/>
    <w:rsid w:val="00125CC0"/>
    <w:rsid w:val="001293E4"/>
    <w:rsid w:val="0013150E"/>
    <w:rsid w:val="001317DF"/>
    <w:rsid w:val="001324AD"/>
    <w:rsid w:val="00133031"/>
    <w:rsid w:val="00133E5E"/>
    <w:rsid w:val="0013524B"/>
    <w:rsid w:val="00135410"/>
    <w:rsid w:val="00135A43"/>
    <w:rsid w:val="00136165"/>
    <w:rsid w:val="00140A1C"/>
    <w:rsid w:val="0014575D"/>
    <w:rsid w:val="001468D3"/>
    <w:rsid w:val="00146A44"/>
    <w:rsid w:val="00147EFF"/>
    <w:rsid w:val="00150518"/>
    <w:rsid w:val="00151E42"/>
    <w:rsid w:val="0015264E"/>
    <w:rsid w:val="0015379F"/>
    <w:rsid w:val="00160BAB"/>
    <w:rsid w:val="001629D6"/>
    <w:rsid w:val="00162A76"/>
    <w:rsid w:val="00166943"/>
    <w:rsid w:val="001669BE"/>
    <w:rsid w:val="00173D83"/>
    <w:rsid w:val="00174F77"/>
    <w:rsid w:val="00175883"/>
    <w:rsid w:val="001824D3"/>
    <w:rsid w:val="00184BDA"/>
    <w:rsid w:val="00186D91"/>
    <w:rsid w:val="00190E2C"/>
    <w:rsid w:val="0019123F"/>
    <w:rsid w:val="001918C8"/>
    <w:rsid w:val="001919AF"/>
    <w:rsid w:val="0019309C"/>
    <w:rsid w:val="001948AB"/>
    <w:rsid w:val="0019490F"/>
    <w:rsid w:val="00195DD9"/>
    <w:rsid w:val="00196D42"/>
    <w:rsid w:val="001977CA"/>
    <w:rsid w:val="001A52DD"/>
    <w:rsid w:val="001B0AEF"/>
    <w:rsid w:val="001B0D11"/>
    <w:rsid w:val="001B221B"/>
    <w:rsid w:val="001B3470"/>
    <w:rsid w:val="001B4339"/>
    <w:rsid w:val="001C11F1"/>
    <w:rsid w:val="001C291C"/>
    <w:rsid w:val="001C37C3"/>
    <w:rsid w:val="001C7129"/>
    <w:rsid w:val="001D27B0"/>
    <w:rsid w:val="001D3643"/>
    <w:rsid w:val="001D3EEB"/>
    <w:rsid w:val="001E0394"/>
    <w:rsid w:val="001E26F4"/>
    <w:rsid w:val="001E2767"/>
    <w:rsid w:val="001E6FB6"/>
    <w:rsid w:val="001E7B83"/>
    <w:rsid w:val="001F18B9"/>
    <w:rsid w:val="001F1C88"/>
    <w:rsid w:val="001F4665"/>
    <w:rsid w:val="001F59BA"/>
    <w:rsid w:val="001F5B71"/>
    <w:rsid w:val="001F6024"/>
    <w:rsid w:val="001F7012"/>
    <w:rsid w:val="001F7F82"/>
    <w:rsid w:val="00202D3E"/>
    <w:rsid w:val="00202D9B"/>
    <w:rsid w:val="00204F32"/>
    <w:rsid w:val="002062A0"/>
    <w:rsid w:val="0020654B"/>
    <w:rsid w:val="0020756A"/>
    <w:rsid w:val="0021142C"/>
    <w:rsid w:val="00213D6A"/>
    <w:rsid w:val="00214E3B"/>
    <w:rsid w:val="00215BCD"/>
    <w:rsid w:val="0021796E"/>
    <w:rsid w:val="00220BFE"/>
    <w:rsid w:val="0022371D"/>
    <w:rsid w:val="0022405B"/>
    <w:rsid w:val="0022528C"/>
    <w:rsid w:val="00225792"/>
    <w:rsid w:val="00227587"/>
    <w:rsid w:val="0023070D"/>
    <w:rsid w:val="00230AA8"/>
    <w:rsid w:val="0023279B"/>
    <w:rsid w:val="002331B7"/>
    <w:rsid w:val="00236E17"/>
    <w:rsid w:val="00240169"/>
    <w:rsid w:val="00240528"/>
    <w:rsid w:val="00241F09"/>
    <w:rsid w:val="002516AD"/>
    <w:rsid w:val="00255D1D"/>
    <w:rsid w:val="0025778D"/>
    <w:rsid w:val="00260069"/>
    <w:rsid w:val="00260308"/>
    <w:rsid w:val="00263112"/>
    <w:rsid w:val="00264AB6"/>
    <w:rsid w:val="00265891"/>
    <w:rsid w:val="00267B1E"/>
    <w:rsid w:val="00272D0D"/>
    <w:rsid w:val="00274219"/>
    <w:rsid w:val="00274587"/>
    <w:rsid w:val="00274BD3"/>
    <w:rsid w:val="002764FA"/>
    <w:rsid w:val="00276A34"/>
    <w:rsid w:val="0028223E"/>
    <w:rsid w:val="00284403"/>
    <w:rsid w:val="00286A59"/>
    <w:rsid w:val="00291888"/>
    <w:rsid w:val="002931E8"/>
    <w:rsid w:val="002939BD"/>
    <w:rsid w:val="00296979"/>
    <w:rsid w:val="00297B20"/>
    <w:rsid w:val="002A0990"/>
    <w:rsid w:val="002A1DA7"/>
    <w:rsid w:val="002A32FD"/>
    <w:rsid w:val="002A42D7"/>
    <w:rsid w:val="002A4515"/>
    <w:rsid w:val="002A5262"/>
    <w:rsid w:val="002A610B"/>
    <w:rsid w:val="002A7810"/>
    <w:rsid w:val="002A7C22"/>
    <w:rsid w:val="002B0F4F"/>
    <w:rsid w:val="002B2798"/>
    <w:rsid w:val="002B27FD"/>
    <w:rsid w:val="002B29B0"/>
    <w:rsid w:val="002B3849"/>
    <w:rsid w:val="002B38CB"/>
    <w:rsid w:val="002B398F"/>
    <w:rsid w:val="002B54F5"/>
    <w:rsid w:val="002B6FAC"/>
    <w:rsid w:val="002C086C"/>
    <w:rsid w:val="002C09F3"/>
    <w:rsid w:val="002C13E3"/>
    <w:rsid w:val="002C2F5D"/>
    <w:rsid w:val="002C6140"/>
    <w:rsid w:val="002C70CE"/>
    <w:rsid w:val="002D0C68"/>
    <w:rsid w:val="002D20AE"/>
    <w:rsid w:val="002D2300"/>
    <w:rsid w:val="002D3968"/>
    <w:rsid w:val="002D7D90"/>
    <w:rsid w:val="002E01DC"/>
    <w:rsid w:val="002E2553"/>
    <w:rsid w:val="002E2DF9"/>
    <w:rsid w:val="002E3A04"/>
    <w:rsid w:val="002E3D55"/>
    <w:rsid w:val="002E5890"/>
    <w:rsid w:val="002E7264"/>
    <w:rsid w:val="002F1C51"/>
    <w:rsid w:val="002F1F9E"/>
    <w:rsid w:val="0030131C"/>
    <w:rsid w:val="00301D5E"/>
    <w:rsid w:val="00302A43"/>
    <w:rsid w:val="003032EB"/>
    <w:rsid w:val="003065EF"/>
    <w:rsid w:val="0030699F"/>
    <w:rsid w:val="003074F2"/>
    <w:rsid w:val="00307DA5"/>
    <w:rsid w:val="00310136"/>
    <w:rsid w:val="00312351"/>
    <w:rsid w:val="00312E8F"/>
    <w:rsid w:val="003152B0"/>
    <w:rsid w:val="00315C45"/>
    <w:rsid w:val="003163EA"/>
    <w:rsid w:val="0031655B"/>
    <w:rsid w:val="00316D53"/>
    <w:rsid w:val="0031738F"/>
    <w:rsid w:val="0032056F"/>
    <w:rsid w:val="00331A27"/>
    <w:rsid w:val="0033222C"/>
    <w:rsid w:val="00332910"/>
    <w:rsid w:val="003365A9"/>
    <w:rsid w:val="003366BD"/>
    <w:rsid w:val="00340BF2"/>
    <w:rsid w:val="003413FE"/>
    <w:rsid w:val="0034152E"/>
    <w:rsid w:val="003437E2"/>
    <w:rsid w:val="0034583D"/>
    <w:rsid w:val="003462D5"/>
    <w:rsid w:val="003508A8"/>
    <w:rsid w:val="003509E2"/>
    <w:rsid w:val="003517F9"/>
    <w:rsid w:val="00352D4A"/>
    <w:rsid w:val="0035313E"/>
    <w:rsid w:val="003558A2"/>
    <w:rsid w:val="00356372"/>
    <w:rsid w:val="003615A9"/>
    <w:rsid w:val="00361978"/>
    <w:rsid w:val="0036466D"/>
    <w:rsid w:val="00364AE1"/>
    <w:rsid w:val="00366C10"/>
    <w:rsid w:val="00366F57"/>
    <w:rsid w:val="003728CB"/>
    <w:rsid w:val="00372AC6"/>
    <w:rsid w:val="00373935"/>
    <w:rsid w:val="00374602"/>
    <w:rsid w:val="0037657C"/>
    <w:rsid w:val="003779CF"/>
    <w:rsid w:val="00380C1C"/>
    <w:rsid w:val="00380C40"/>
    <w:rsid w:val="00382F39"/>
    <w:rsid w:val="00382FF2"/>
    <w:rsid w:val="00385414"/>
    <w:rsid w:val="003855D6"/>
    <w:rsid w:val="0038579D"/>
    <w:rsid w:val="00386E57"/>
    <w:rsid w:val="00387A31"/>
    <w:rsid w:val="003910A6"/>
    <w:rsid w:val="00391A4A"/>
    <w:rsid w:val="00392664"/>
    <w:rsid w:val="00393EF2"/>
    <w:rsid w:val="003979C3"/>
    <w:rsid w:val="00397E29"/>
    <w:rsid w:val="003A023D"/>
    <w:rsid w:val="003A23A7"/>
    <w:rsid w:val="003A2C02"/>
    <w:rsid w:val="003A46FC"/>
    <w:rsid w:val="003A71B7"/>
    <w:rsid w:val="003B1AA5"/>
    <w:rsid w:val="003B34C6"/>
    <w:rsid w:val="003B4FA7"/>
    <w:rsid w:val="003B4FF0"/>
    <w:rsid w:val="003B5734"/>
    <w:rsid w:val="003C0513"/>
    <w:rsid w:val="003C0E3B"/>
    <w:rsid w:val="003C19CA"/>
    <w:rsid w:val="003C2125"/>
    <w:rsid w:val="003C2349"/>
    <w:rsid w:val="003C2DDA"/>
    <w:rsid w:val="003C4116"/>
    <w:rsid w:val="003C5A24"/>
    <w:rsid w:val="003C62A1"/>
    <w:rsid w:val="003D0D34"/>
    <w:rsid w:val="003D1518"/>
    <w:rsid w:val="003D30F1"/>
    <w:rsid w:val="003D4C06"/>
    <w:rsid w:val="003D5F97"/>
    <w:rsid w:val="003D6441"/>
    <w:rsid w:val="003D74D0"/>
    <w:rsid w:val="003D7C00"/>
    <w:rsid w:val="003E0A34"/>
    <w:rsid w:val="003E16A6"/>
    <w:rsid w:val="003E2593"/>
    <w:rsid w:val="003E52E5"/>
    <w:rsid w:val="003E63DF"/>
    <w:rsid w:val="003F03F9"/>
    <w:rsid w:val="003F10B2"/>
    <w:rsid w:val="003F3C85"/>
    <w:rsid w:val="003F41D5"/>
    <w:rsid w:val="003F7CAE"/>
    <w:rsid w:val="00401963"/>
    <w:rsid w:val="004042E3"/>
    <w:rsid w:val="004068E8"/>
    <w:rsid w:val="00407DF4"/>
    <w:rsid w:val="0041284C"/>
    <w:rsid w:val="00414CDA"/>
    <w:rsid w:val="00416C57"/>
    <w:rsid w:val="00420203"/>
    <w:rsid w:val="00420248"/>
    <w:rsid w:val="00421480"/>
    <w:rsid w:val="00421B80"/>
    <w:rsid w:val="0042246E"/>
    <w:rsid w:val="0042276B"/>
    <w:rsid w:val="0042316E"/>
    <w:rsid w:val="00425AF6"/>
    <w:rsid w:val="00425C95"/>
    <w:rsid w:val="00425E28"/>
    <w:rsid w:val="0042686B"/>
    <w:rsid w:val="00430205"/>
    <w:rsid w:val="004309AC"/>
    <w:rsid w:val="00431778"/>
    <w:rsid w:val="00432BB3"/>
    <w:rsid w:val="00434352"/>
    <w:rsid w:val="004344A5"/>
    <w:rsid w:val="00437661"/>
    <w:rsid w:val="0044211B"/>
    <w:rsid w:val="004434DE"/>
    <w:rsid w:val="004504E7"/>
    <w:rsid w:val="0045105E"/>
    <w:rsid w:val="00451272"/>
    <w:rsid w:val="004535A2"/>
    <w:rsid w:val="00461A17"/>
    <w:rsid w:val="004658A6"/>
    <w:rsid w:val="00466A60"/>
    <w:rsid w:val="00466A9E"/>
    <w:rsid w:val="00466E3F"/>
    <w:rsid w:val="0046742F"/>
    <w:rsid w:val="00467CA7"/>
    <w:rsid w:val="00471D02"/>
    <w:rsid w:val="004720E4"/>
    <w:rsid w:val="004742CA"/>
    <w:rsid w:val="0047605E"/>
    <w:rsid w:val="00476F4B"/>
    <w:rsid w:val="0047B074"/>
    <w:rsid w:val="00480C12"/>
    <w:rsid w:val="00480C69"/>
    <w:rsid w:val="00481180"/>
    <w:rsid w:val="00481D48"/>
    <w:rsid w:val="0048445E"/>
    <w:rsid w:val="00484F10"/>
    <w:rsid w:val="00486F8A"/>
    <w:rsid w:val="004904FC"/>
    <w:rsid w:val="0049158D"/>
    <w:rsid w:val="00491FA5"/>
    <w:rsid w:val="00492271"/>
    <w:rsid w:val="004926F0"/>
    <w:rsid w:val="00493407"/>
    <w:rsid w:val="004954DC"/>
    <w:rsid w:val="00495B76"/>
    <w:rsid w:val="0049760F"/>
    <w:rsid w:val="004A092F"/>
    <w:rsid w:val="004A0A46"/>
    <w:rsid w:val="004A0D1A"/>
    <w:rsid w:val="004A193A"/>
    <w:rsid w:val="004A1D87"/>
    <w:rsid w:val="004A3295"/>
    <w:rsid w:val="004A4B5C"/>
    <w:rsid w:val="004A52DD"/>
    <w:rsid w:val="004A7118"/>
    <w:rsid w:val="004A75EC"/>
    <w:rsid w:val="004B1276"/>
    <w:rsid w:val="004B2539"/>
    <w:rsid w:val="004B2E57"/>
    <w:rsid w:val="004B426C"/>
    <w:rsid w:val="004B490B"/>
    <w:rsid w:val="004B6CD1"/>
    <w:rsid w:val="004B7443"/>
    <w:rsid w:val="004C0DB0"/>
    <w:rsid w:val="004C1910"/>
    <w:rsid w:val="004C5A47"/>
    <w:rsid w:val="004C7C92"/>
    <w:rsid w:val="004D1EAA"/>
    <w:rsid w:val="004D4C9C"/>
    <w:rsid w:val="004D66AA"/>
    <w:rsid w:val="004D729B"/>
    <w:rsid w:val="004E135B"/>
    <w:rsid w:val="004E1419"/>
    <w:rsid w:val="004E19DD"/>
    <w:rsid w:val="004E3E7A"/>
    <w:rsid w:val="004E6C32"/>
    <w:rsid w:val="004E7A2C"/>
    <w:rsid w:val="004F1215"/>
    <w:rsid w:val="004F32D7"/>
    <w:rsid w:val="004F5092"/>
    <w:rsid w:val="004F5598"/>
    <w:rsid w:val="00502289"/>
    <w:rsid w:val="005040CE"/>
    <w:rsid w:val="0050682B"/>
    <w:rsid w:val="00507292"/>
    <w:rsid w:val="00515A38"/>
    <w:rsid w:val="00517E3A"/>
    <w:rsid w:val="005212B0"/>
    <w:rsid w:val="00523905"/>
    <w:rsid w:val="00524F0B"/>
    <w:rsid w:val="005264D8"/>
    <w:rsid w:val="0052693D"/>
    <w:rsid w:val="00527693"/>
    <w:rsid w:val="00527CCD"/>
    <w:rsid w:val="0053017C"/>
    <w:rsid w:val="005314A6"/>
    <w:rsid w:val="00532882"/>
    <w:rsid w:val="00533B1C"/>
    <w:rsid w:val="005346D6"/>
    <w:rsid w:val="005354F8"/>
    <w:rsid w:val="00536C9B"/>
    <w:rsid w:val="00543405"/>
    <w:rsid w:val="00543638"/>
    <w:rsid w:val="00543DD5"/>
    <w:rsid w:val="005442B9"/>
    <w:rsid w:val="00546BE0"/>
    <w:rsid w:val="00546DEE"/>
    <w:rsid w:val="00550EAF"/>
    <w:rsid w:val="00551287"/>
    <w:rsid w:val="005512EB"/>
    <w:rsid w:val="00551619"/>
    <w:rsid w:val="00552355"/>
    <w:rsid w:val="005547CC"/>
    <w:rsid w:val="00556400"/>
    <w:rsid w:val="005576BB"/>
    <w:rsid w:val="00557CB1"/>
    <w:rsid w:val="00560638"/>
    <w:rsid w:val="00560FAB"/>
    <w:rsid w:val="00561B43"/>
    <w:rsid w:val="0056387B"/>
    <w:rsid w:val="005669DA"/>
    <w:rsid w:val="005670C5"/>
    <w:rsid w:val="00571A79"/>
    <w:rsid w:val="0057712F"/>
    <w:rsid w:val="005776E3"/>
    <w:rsid w:val="00580BDD"/>
    <w:rsid w:val="005814BB"/>
    <w:rsid w:val="0058250D"/>
    <w:rsid w:val="0058756E"/>
    <w:rsid w:val="00587ACC"/>
    <w:rsid w:val="00593F3D"/>
    <w:rsid w:val="00595AF6"/>
    <w:rsid w:val="005A19D8"/>
    <w:rsid w:val="005A2562"/>
    <w:rsid w:val="005A2735"/>
    <w:rsid w:val="005A5E04"/>
    <w:rsid w:val="005B1EDA"/>
    <w:rsid w:val="005B3F3B"/>
    <w:rsid w:val="005B5BC4"/>
    <w:rsid w:val="005C1197"/>
    <w:rsid w:val="005C17DE"/>
    <w:rsid w:val="005C2CAD"/>
    <w:rsid w:val="005C477E"/>
    <w:rsid w:val="005D1622"/>
    <w:rsid w:val="005D3251"/>
    <w:rsid w:val="005D5650"/>
    <w:rsid w:val="005D5A1B"/>
    <w:rsid w:val="005E0C6E"/>
    <w:rsid w:val="005E37C7"/>
    <w:rsid w:val="005E3D67"/>
    <w:rsid w:val="005E426A"/>
    <w:rsid w:val="005E4BB3"/>
    <w:rsid w:val="005E4F00"/>
    <w:rsid w:val="005E5452"/>
    <w:rsid w:val="005E5EB3"/>
    <w:rsid w:val="005E5F2C"/>
    <w:rsid w:val="005E7D0B"/>
    <w:rsid w:val="005E7F3B"/>
    <w:rsid w:val="005F37E3"/>
    <w:rsid w:val="005F4EDF"/>
    <w:rsid w:val="00600627"/>
    <w:rsid w:val="006035E3"/>
    <w:rsid w:val="00604BD3"/>
    <w:rsid w:val="0060678F"/>
    <w:rsid w:val="006074E5"/>
    <w:rsid w:val="006115A9"/>
    <w:rsid w:val="00612F86"/>
    <w:rsid w:val="00614F57"/>
    <w:rsid w:val="006178BB"/>
    <w:rsid w:val="00621403"/>
    <w:rsid w:val="00621D1C"/>
    <w:rsid w:val="006228CF"/>
    <w:rsid w:val="0062297A"/>
    <w:rsid w:val="0062407F"/>
    <w:rsid w:val="00624CFB"/>
    <w:rsid w:val="00624EA1"/>
    <w:rsid w:val="00625C75"/>
    <w:rsid w:val="00625ECE"/>
    <w:rsid w:val="00627D2E"/>
    <w:rsid w:val="00630FB3"/>
    <w:rsid w:val="00634F8F"/>
    <w:rsid w:val="00635293"/>
    <w:rsid w:val="0063530F"/>
    <w:rsid w:val="006410DB"/>
    <w:rsid w:val="00641AAB"/>
    <w:rsid w:val="00641FF3"/>
    <w:rsid w:val="006421A7"/>
    <w:rsid w:val="00642318"/>
    <w:rsid w:val="00650456"/>
    <w:rsid w:val="0065159E"/>
    <w:rsid w:val="00652186"/>
    <w:rsid w:val="00655143"/>
    <w:rsid w:val="006567FA"/>
    <w:rsid w:val="0065680F"/>
    <w:rsid w:val="00657CC1"/>
    <w:rsid w:val="006607DE"/>
    <w:rsid w:val="006638B6"/>
    <w:rsid w:val="00664757"/>
    <w:rsid w:val="00672310"/>
    <w:rsid w:val="00672EFD"/>
    <w:rsid w:val="00674F4E"/>
    <w:rsid w:val="00682A7C"/>
    <w:rsid w:val="006844E4"/>
    <w:rsid w:val="00691D57"/>
    <w:rsid w:val="0069343F"/>
    <w:rsid w:val="0069434D"/>
    <w:rsid w:val="0069475E"/>
    <w:rsid w:val="0069704B"/>
    <w:rsid w:val="0069796F"/>
    <w:rsid w:val="006A2E71"/>
    <w:rsid w:val="006A414F"/>
    <w:rsid w:val="006A46E2"/>
    <w:rsid w:val="006A5028"/>
    <w:rsid w:val="006A5A3A"/>
    <w:rsid w:val="006A609B"/>
    <w:rsid w:val="006A6245"/>
    <w:rsid w:val="006A6718"/>
    <w:rsid w:val="006A6D22"/>
    <w:rsid w:val="006B11F4"/>
    <w:rsid w:val="006B3092"/>
    <w:rsid w:val="006B359D"/>
    <w:rsid w:val="006B4AE7"/>
    <w:rsid w:val="006B7C67"/>
    <w:rsid w:val="006C0E2A"/>
    <w:rsid w:val="006C10AA"/>
    <w:rsid w:val="006C3668"/>
    <w:rsid w:val="006C3935"/>
    <w:rsid w:val="006C6A48"/>
    <w:rsid w:val="006C6F9C"/>
    <w:rsid w:val="006D2133"/>
    <w:rsid w:val="006D3883"/>
    <w:rsid w:val="006D6A71"/>
    <w:rsid w:val="006D7B83"/>
    <w:rsid w:val="006E0886"/>
    <w:rsid w:val="006E1A71"/>
    <w:rsid w:val="006E2288"/>
    <w:rsid w:val="006E2472"/>
    <w:rsid w:val="006E2834"/>
    <w:rsid w:val="006E4E84"/>
    <w:rsid w:val="006E544E"/>
    <w:rsid w:val="006E6610"/>
    <w:rsid w:val="006F01EA"/>
    <w:rsid w:val="006F2426"/>
    <w:rsid w:val="006F4AC6"/>
    <w:rsid w:val="006F6810"/>
    <w:rsid w:val="00702EE8"/>
    <w:rsid w:val="00705AB6"/>
    <w:rsid w:val="007065EB"/>
    <w:rsid w:val="00706B0F"/>
    <w:rsid w:val="0071216C"/>
    <w:rsid w:val="007125CC"/>
    <w:rsid w:val="007125D7"/>
    <w:rsid w:val="00713538"/>
    <w:rsid w:val="00714417"/>
    <w:rsid w:val="00716267"/>
    <w:rsid w:val="007226FF"/>
    <w:rsid w:val="00722F74"/>
    <w:rsid w:val="00725F07"/>
    <w:rsid w:val="00727E65"/>
    <w:rsid w:val="007329E1"/>
    <w:rsid w:val="00733A4C"/>
    <w:rsid w:val="00734DC3"/>
    <w:rsid w:val="00735338"/>
    <w:rsid w:val="00735D85"/>
    <w:rsid w:val="00735E6E"/>
    <w:rsid w:val="007367F1"/>
    <w:rsid w:val="00737202"/>
    <w:rsid w:val="00737F64"/>
    <w:rsid w:val="007414A7"/>
    <w:rsid w:val="00743A71"/>
    <w:rsid w:val="00744241"/>
    <w:rsid w:val="007453E6"/>
    <w:rsid w:val="007458D5"/>
    <w:rsid w:val="00745C7B"/>
    <w:rsid w:val="00746825"/>
    <w:rsid w:val="00750149"/>
    <w:rsid w:val="0075053C"/>
    <w:rsid w:val="007514FE"/>
    <w:rsid w:val="007516E5"/>
    <w:rsid w:val="00751B6C"/>
    <w:rsid w:val="00753FE6"/>
    <w:rsid w:val="007548BA"/>
    <w:rsid w:val="00754CBD"/>
    <w:rsid w:val="00755068"/>
    <w:rsid w:val="0075542E"/>
    <w:rsid w:val="007563D2"/>
    <w:rsid w:val="00756CC6"/>
    <w:rsid w:val="0076077B"/>
    <w:rsid w:val="00762767"/>
    <w:rsid w:val="00762B64"/>
    <w:rsid w:val="007658AD"/>
    <w:rsid w:val="007703EB"/>
    <w:rsid w:val="00773B9B"/>
    <w:rsid w:val="0077428B"/>
    <w:rsid w:val="007744F5"/>
    <w:rsid w:val="00774D69"/>
    <w:rsid w:val="00780C21"/>
    <w:rsid w:val="00780EC5"/>
    <w:rsid w:val="0078360D"/>
    <w:rsid w:val="00786C2D"/>
    <w:rsid w:val="00790470"/>
    <w:rsid w:val="00792467"/>
    <w:rsid w:val="00792676"/>
    <w:rsid w:val="00794034"/>
    <w:rsid w:val="007963DC"/>
    <w:rsid w:val="0079650F"/>
    <w:rsid w:val="00797988"/>
    <w:rsid w:val="007A0D8F"/>
    <w:rsid w:val="007A1121"/>
    <w:rsid w:val="007A1860"/>
    <w:rsid w:val="007A2146"/>
    <w:rsid w:val="007A3986"/>
    <w:rsid w:val="007A4229"/>
    <w:rsid w:val="007B1C88"/>
    <w:rsid w:val="007B2639"/>
    <w:rsid w:val="007B714C"/>
    <w:rsid w:val="007B75AC"/>
    <w:rsid w:val="007B7BA2"/>
    <w:rsid w:val="007B7E26"/>
    <w:rsid w:val="007C2740"/>
    <w:rsid w:val="007C4280"/>
    <w:rsid w:val="007C429A"/>
    <w:rsid w:val="007C610C"/>
    <w:rsid w:val="007C7374"/>
    <w:rsid w:val="007D13DC"/>
    <w:rsid w:val="007D15AE"/>
    <w:rsid w:val="007D200F"/>
    <w:rsid w:val="007D2A66"/>
    <w:rsid w:val="007D6B74"/>
    <w:rsid w:val="007D7131"/>
    <w:rsid w:val="007D7A16"/>
    <w:rsid w:val="007E0BE9"/>
    <w:rsid w:val="007E24D8"/>
    <w:rsid w:val="007E38AD"/>
    <w:rsid w:val="007F0EDE"/>
    <w:rsid w:val="007F1506"/>
    <w:rsid w:val="007F1AF4"/>
    <w:rsid w:val="007F2E8F"/>
    <w:rsid w:val="007F3638"/>
    <w:rsid w:val="007F4020"/>
    <w:rsid w:val="007F4208"/>
    <w:rsid w:val="007F46A2"/>
    <w:rsid w:val="007F524F"/>
    <w:rsid w:val="007F6697"/>
    <w:rsid w:val="008000E9"/>
    <w:rsid w:val="00800DE4"/>
    <w:rsid w:val="00801D91"/>
    <w:rsid w:val="00802403"/>
    <w:rsid w:val="008036BF"/>
    <w:rsid w:val="00803ACF"/>
    <w:rsid w:val="0080602E"/>
    <w:rsid w:val="00806CC8"/>
    <w:rsid w:val="00810AFD"/>
    <w:rsid w:val="00810ED8"/>
    <w:rsid w:val="00811797"/>
    <w:rsid w:val="008127D3"/>
    <w:rsid w:val="008176B4"/>
    <w:rsid w:val="00817802"/>
    <w:rsid w:val="00820F9D"/>
    <w:rsid w:val="00822808"/>
    <w:rsid w:val="0082338C"/>
    <w:rsid w:val="00823E43"/>
    <w:rsid w:val="008303D1"/>
    <w:rsid w:val="008326F3"/>
    <w:rsid w:val="00832AEA"/>
    <w:rsid w:val="00832CA3"/>
    <w:rsid w:val="00835465"/>
    <w:rsid w:val="008413F1"/>
    <w:rsid w:val="008427F0"/>
    <w:rsid w:val="008438D9"/>
    <w:rsid w:val="008522A6"/>
    <w:rsid w:val="00856405"/>
    <w:rsid w:val="0085725A"/>
    <w:rsid w:val="0085762A"/>
    <w:rsid w:val="00861B08"/>
    <w:rsid w:val="00865030"/>
    <w:rsid w:val="00873655"/>
    <w:rsid w:val="00877C7B"/>
    <w:rsid w:val="00880421"/>
    <w:rsid w:val="0088081B"/>
    <w:rsid w:val="00881634"/>
    <w:rsid w:val="008826E7"/>
    <w:rsid w:val="00884DE5"/>
    <w:rsid w:val="00885076"/>
    <w:rsid w:val="00886219"/>
    <w:rsid w:val="00890078"/>
    <w:rsid w:val="008900BE"/>
    <w:rsid w:val="00890614"/>
    <w:rsid w:val="008924C8"/>
    <w:rsid w:val="00892808"/>
    <w:rsid w:val="008937A7"/>
    <w:rsid w:val="00896EAF"/>
    <w:rsid w:val="008A3F21"/>
    <w:rsid w:val="008A4AA4"/>
    <w:rsid w:val="008A5E72"/>
    <w:rsid w:val="008B0B53"/>
    <w:rsid w:val="008B0C8C"/>
    <w:rsid w:val="008B40A0"/>
    <w:rsid w:val="008C0512"/>
    <w:rsid w:val="008C08A3"/>
    <w:rsid w:val="008C24BA"/>
    <w:rsid w:val="008C2579"/>
    <w:rsid w:val="008C2F80"/>
    <w:rsid w:val="008C3965"/>
    <w:rsid w:val="008D240C"/>
    <w:rsid w:val="008D40A6"/>
    <w:rsid w:val="008D65E9"/>
    <w:rsid w:val="008D6E8C"/>
    <w:rsid w:val="008E3B67"/>
    <w:rsid w:val="008E3E6A"/>
    <w:rsid w:val="008E4123"/>
    <w:rsid w:val="008F109C"/>
    <w:rsid w:val="008F1759"/>
    <w:rsid w:val="008F2F4D"/>
    <w:rsid w:val="008F47DD"/>
    <w:rsid w:val="008F5A6E"/>
    <w:rsid w:val="008F61F9"/>
    <w:rsid w:val="008F7F83"/>
    <w:rsid w:val="0090215A"/>
    <w:rsid w:val="00905709"/>
    <w:rsid w:val="00906E4F"/>
    <w:rsid w:val="00911116"/>
    <w:rsid w:val="00911215"/>
    <w:rsid w:val="00912897"/>
    <w:rsid w:val="009134DE"/>
    <w:rsid w:val="0091443C"/>
    <w:rsid w:val="00914B2A"/>
    <w:rsid w:val="00916482"/>
    <w:rsid w:val="00916B29"/>
    <w:rsid w:val="00917623"/>
    <w:rsid w:val="00920665"/>
    <w:rsid w:val="0092368C"/>
    <w:rsid w:val="009239ED"/>
    <w:rsid w:val="00923B26"/>
    <w:rsid w:val="00924082"/>
    <w:rsid w:val="00924761"/>
    <w:rsid w:val="00925CA0"/>
    <w:rsid w:val="009260CD"/>
    <w:rsid w:val="00927A12"/>
    <w:rsid w:val="00930B19"/>
    <w:rsid w:val="00931D83"/>
    <w:rsid w:val="0093253A"/>
    <w:rsid w:val="0093260D"/>
    <w:rsid w:val="00936B36"/>
    <w:rsid w:val="009379F2"/>
    <w:rsid w:val="0094054A"/>
    <w:rsid w:val="00940975"/>
    <w:rsid w:val="00943EDC"/>
    <w:rsid w:val="00944C93"/>
    <w:rsid w:val="00946929"/>
    <w:rsid w:val="009509E6"/>
    <w:rsid w:val="00953BF4"/>
    <w:rsid w:val="00956F76"/>
    <w:rsid w:val="0095778E"/>
    <w:rsid w:val="00960E90"/>
    <w:rsid w:val="00962D37"/>
    <w:rsid w:val="00964701"/>
    <w:rsid w:val="00966FE2"/>
    <w:rsid w:val="00972BF0"/>
    <w:rsid w:val="009738F5"/>
    <w:rsid w:val="00975007"/>
    <w:rsid w:val="00975873"/>
    <w:rsid w:val="00977DD6"/>
    <w:rsid w:val="0098088C"/>
    <w:rsid w:val="00981458"/>
    <w:rsid w:val="00981755"/>
    <w:rsid w:val="00981FFA"/>
    <w:rsid w:val="00982ABC"/>
    <w:rsid w:val="00987B4F"/>
    <w:rsid w:val="009911DC"/>
    <w:rsid w:val="00991581"/>
    <w:rsid w:val="00991C80"/>
    <w:rsid w:val="00992B57"/>
    <w:rsid w:val="00993890"/>
    <w:rsid w:val="0099416F"/>
    <w:rsid w:val="009958CF"/>
    <w:rsid w:val="009962BD"/>
    <w:rsid w:val="0099768A"/>
    <w:rsid w:val="00997FC0"/>
    <w:rsid w:val="009A02BD"/>
    <w:rsid w:val="009A3F97"/>
    <w:rsid w:val="009A4B08"/>
    <w:rsid w:val="009A678E"/>
    <w:rsid w:val="009B0D4B"/>
    <w:rsid w:val="009B2A06"/>
    <w:rsid w:val="009B3CD3"/>
    <w:rsid w:val="009B4D99"/>
    <w:rsid w:val="009B7B54"/>
    <w:rsid w:val="009C38CE"/>
    <w:rsid w:val="009C3EEE"/>
    <w:rsid w:val="009C4425"/>
    <w:rsid w:val="009C45F8"/>
    <w:rsid w:val="009C5797"/>
    <w:rsid w:val="009C5928"/>
    <w:rsid w:val="009C6187"/>
    <w:rsid w:val="009D05EB"/>
    <w:rsid w:val="009D4108"/>
    <w:rsid w:val="009D71E7"/>
    <w:rsid w:val="009E0844"/>
    <w:rsid w:val="009E1B16"/>
    <w:rsid w:val="009E1D95"/>
    <w:rsid w:val="009E31EF"/>
    <w:rsid w:val="009E4219"/>
    <w:rsid w:val="009E4D36"/>
    <w:rsid w:val="009E6384"/>
    <w:rsid w:val="009E6B83"/>
    <w:rsid w:val="009E72C9"/>
    <w:rsid w:val="009F0CFA"/>
    <w:rsid w:val="009F208D"/>
    <w:rsid w:val="009F2E27"/>
    <w:rsid w:val="009F43A3"/>
    <w:rsid w:val="009F57FA"/>
    <w:rsid w:val="009F6704"/>
    <w:rsid w:val="009F67A1"/>
    <w:rsid w:val="009F6DF2"/>
    <w:rsid w:val="009F74A7"/>
    <w:rsid w:val="009F77F5"/>
    <w:rsid w:val="009F7FFC"/>
    <w:rsid w:val="00A00EA5"/>
    <w:rsid w:val="00A0312A"/>
    <w:rsid w:val="00A033D7"/>
    <w:rsid w:val="00A03986"/>
    <w:rsid w:val="00A063DF"/>
    <w:rsid w:val="00A06E57"/>
    <w:rsid w:val="00A07F1D"/>
    <w:rsid w:val="00A1165F"/>
    <w:rsid w:val="00A13087"/>
    <w:rsid w:val="00A137BD"/>
    <w:rsid w:val="00A175C3"/>
    <w:rsid w:val="00A20C90"/>
    <w:rsid w:val="00A20CB5"/>
    <w:rsid w:val="00A21BC3"/>
    <w:rsid w:val="00A21EEE"/>
    <w:rsid w:val="00A24B9D"/>
    <w:rsid w:val="00A2654B"/>
    <w:rsid w:val="00A30EF1"/>
    <w:rsid w:val="00A3113C"/>
    <w:rsid w:val="00A311BB"/>
    <w:rsid w:val="00A313BD"/>
    <w:rsid w:val="00A36BD3"/>
    <w:rsid w:val="00A370DD"/>
    <w:rsid w:val="00A4598D"/>
    <w:rsid w:val="00A45B00"/>
    <w:rsid w:val="00A45FB3"/>
    <w:rsid w:val="00A50E8B"/>
    <w:rsid w:val="00A5186F"/>
    <w:rsid w:val="00A53B5C"/>
    <w:rsid w:val="00A620C0"/>
    <w:rsid w:val="00A637C1"/>
    <w:rsid w:val="00A6481D"/>
    <w:rsid w:val="00A65742"/>
    <w:rsid w:val="00A678E9"/>
    <w:rsid w:val="00A67FBE"/>
    <w:rsid w:val="00A71244"/>
    <w:rsid w:val="00A71314"/>
    <w:rsid w:val="00A71CC8"/>
    <w:rsid w:val="00A71F6F"/>
    <w:rsid w:val="00A72786"/>
    <w:rsid w:val="00A736EF"/>
    <w:rsid w:val="00A745E8"/>
    <w:rsid w:val="00A74920"/>
    <w:rsid w:val="00A80AB5"/>
    <w:rsid w:val="00A81031"/>
    <w:rsid w:val="00A83D5C"/>
    <w:rsid w:val="00A83DE0"/>
    <w:rsid w:val="00A84058"/>
    <w:rsid w:val="00A8489A"/>
    <w:rsid w:val="00A8581A"/>
    <w:rsid w:val="00A858B6"/>
    <w:rsid w:val="00A9224D"/>
    <w:rsid w:val="00AA0A68"/>
    <w:rsid w:val="00AA0E20"/>
    <w:rsid w:val="00AA108B"/>
    <w:rsid w:val="00AA18A2"/>
    <w:rsid w:val="00AA2CEF"/>
    <w:rsid w:val="00AA4C86"/>
    <w:rsid w:val="00AA50A3"/>
    <w:rsid w:val="00AA59FB"/>
    <w:rsid w:val="00AA71A1"/>
    <w:rsid w:val="00AA7EE1"/>
    <w:rsid w:val="00AB7409"/>
    <w:rsid w:val="00AB76D7"/>
    <w:rsid w:val="00AC0E3F"/>
    <w:rsid w:val="00AC1951"/>
    <w:rsid w:val="00AC2D2E"/>
    <w:rsid w:val="00AC7AE1"/>
    <w:rsid w:val="00AC7C3F"/>
    <w:rsid w:val="00AD051B"/>
    <w:rsid w:val="00AD0947"/>
    <w:rsid w:val="00AD1CFF"/>
    <w:rsid w:val="00AD76F9"/>
    <w:rsid w:val="00AE15C0"/>
    <w:rsid w:val="00AF2D11"/>
    <w:rsid w:val="00AF5DDA"/>
    <w:rsid w:val="00AF67D0"/>
    <w:rsid w:val="00AF7B84"/>
    <w:rsid w:val="00B02C86"/>
    <w:rsid w:val="00B071EF"/>
    <w:rsid w:val="00B12B69"/>
    <w:rsid w:val="00B14632"/>
    <w:rsid w:val="00B14F41"/>
    <w:rsid w:val="00B242D5"/>
    <w:rsid w:val="00B260F4"/>
    <w:rsid w:val="00B27497"/>
    <w:rsid w:val="00B30E15"/>
    <w:rsid w:val="00B31B8E"/>
    <w:rsid w:val="00B335D9"/>
    <w:rsid w:val="00B3567A"/>
    <w:rsid w:val="00B374CF"/>
    <w:rsid w:val="00B37628"/>
    <w:rsid w:val="00B4310A"/>
    <w:rsid w:val="00B445BD"/>
    <w:rsid w:val="00B46632"/>
    <w:rsid w:val="00B46C55"/>
    <w:rsid w:val="00B470D9"/>
    <w:rsid w:val="00B470E0"/>
    <w:rsid w:val="00B50438"/>
    <w:rsid w:val="00B505A7"/>
    <w:rsid w:val="00B51598"/>
    <w:rsid w:val="00B51B98"/>
    <w:rsid w:val="00B51FDA"/>
    <w:rsid w:val="00B520D3"/>
    <w:rsid w:val="00B5424B"/>
    <w:rsid w:val="00B55AD2"/>
    <w:rsid w:val="00B57361"/>
    <w:rsid w:val="00B57995"/>
    <w:rsid w:val="00B61419"/>
    <w:rsid w:val="00B61E40"/>
    <w:rsid w:val="00B64473"/>
    <w:rsid w:val="00B64A40"/>
    <w:rsid w:val="00B70A75"/>
    <w:rsid w:val="00B7121A"/>
    <w:rsid w:val="00B7477E"/>
    <w:rsid w:val="00B75993"/>
    <w:rsid w:val="00B75C7C"/>
    <w:rsid w:val="00B779CB"/>
    <w:rsid w:val="00B77EB5"/>
    <w:rsid w:val="00B8277A"/>
    <w:rsid w:val="00B82AEE"/>
    <w:rsid w:val="00B85550"/>
    <w:rsid w:val="00B87755"/>
    <w:rsid w:val="00B90191"/>
    <w:rsid w:val="00B91623"/>
    <w:rsid w:val="00B93850"/>
    <w:rsid w:val="00B94314"/>
    <w:rsid w:val="00BA0B9A"/>
    <w:rsid w:val="00BA3667"/>
    <w:rsid w:val="00BA4518"/>
    <w:rsid w:val="00BA4827"/>
    <w:rsid w:val="00BA6A3F"/>
    <w:rsid w:val="00BA771E"/>
    <w:rsid w:val="00BA7D85"/>
    <w:rsid w:val="00BB1577"/>
    <w:rsid w:val="00BB1B0C"/>
    <w:rsid w:val="00BB2D84"/>
    <w:rsid w:val="00BB49E5"/>
    <w:rsid w:val="00BB5355"/>
    <w:rsid w:val="00BB540F"/>
    <w:rsid w:val="00BC3629"/>
    <w:rsid w:val="00BC3AF5"/>
    <w:rsid w:val="00BC3B72"/>
    <w:rsid w:val="00BC558D"/>
    <w:rsid w:val="00BD006D"/>
    <w:rsid w:val="00BD0F1C"/>
    <w:rsid w:val="00BD29E9"/>
    <w:rsid w:val="00BD6D5B"/>
    <w:rsid w:val="00BD6E4B"/>
    <w:rsid w:val="00BD78A7"/>
    <w:rsid w:val="00BE11F6"/>
    <w:rsid w:val="00BE2F91"/>
    <w:rsid w:val="00BE4016"/>
    <w:rsid w:val="00BE5B56"/>
    <w:rsid w:val="00BE6366"/>
    <w:rsid w:val="00BE69A1"/>
    <w:rsid w:val="00BF1939"/>
    <w:rsid w:val="00BF411E"/>
    <w:rsid w:val="00BF49EB"/>
    <w:rsid w:val="00BF5C87"/>
    <w:rsid w:val="00BF607F"/>
    <w:rsid w:val="00C01A9E"/>
    <w:rsid w:val="00C026F4"/>
    <w:rsid w:val="00C0414E"/>
    <w:rsid w:val="00C043F8"/>
    <w:rsid w:val="00C10388"/>
    <w:rsid w:val="00C10F1A"/>
    <w:rsid w:val="00C113D4"/>
    <w:rsid w:val="00C11A34"/>
    <w:rsid w:val="00C12113"/>
    <w:rsid w:val="00C137F3"/>
    <w:rsid w:val="00C1762B"/>
    <w:rsid w:val="00C21C6C"/>
    <w:rsid w:val="00C24BAD"/>
    <w:rsid w:val="00C24DC2"/>
    <w:rsid w:val="00C2612A"/>
    <w:rsid w:val="00C2666E"/>
    <w:rsid w:val="00C26E8B"/>
    <w:rsid w:val="00C27AAC"/>
    <w:rsid w:val="00C27C90"/>
    <w:rsid w:val="00C313CB"/>
    <w:rsid w:val="00C3280E"/>
    <w:rsid w:val="00C32D74"/>
    <w:rsid w:val="00C36802"/>
    <w:rsid w:val="00C37654"/>
    <w:rsid w:val="00C409EF"/>
    <w:rsid w:val="00C40FA6"/>
    <w:rsid w:val="00C4161C"/>
    <w:rsid w:val="00C43457"/>
    <w:rsid w:val="00C4441B"/>
    <w:rsid w:val="00C44BFA"/>
    <w:rsid w:val="00C45397"/>
    <w:rsid w:val="00C47DA9"/>
    <w:rsid w:val="00C50895"/>
    <w:rsid w:val="00C527DE"/>
    <w:rsid w:val="00C5289E"/>
    <w:rsid w:val="00C534E8"/>
    <w:rsid w:val="00C53BBC"/>
    <w:rsid w:val="00C54303"/>
    <w:rsid w:val="00C61096"/>
    <w:rsid w:val="00C615D2"/>
    <w:rsid w:val="00C640F3"/>
    <w:rsid w:val="00C677DA"/>
    <w:rsid w:val="00C7418D"/>
    <w:rsid w:val="00C76269"/>
    <w:rsid w:val="00C76794"/>
    <w:rsid w:val="00C776B8"/>
    <w:rsid w:val="00C77850"/>
    <w:rsid w:val="00C85B45"/>
    <w:rsid w:val="00C90942"/>
    <w:rsid w:val="00C909E9"/>
    <w:rsid w:val="00C91C31"/>
    <w:rsid w:val="00C93E5C"/>
    <w:rsid w:val="00C947D1"/>
    <w:rsid w:val="00C95064"/>
    <w:rsid w:val="00C95A44"/>
    <w:rsid w:val="00C9E1E2"/>
    <w:rsid w:val="00CA375C"/>
    <w:rsid w:val="00CA4784"/>
    <w:rsid w:val="00CA549D"/>
    <w:rsid w:val="00CA7CBF"/>
    <w:rsid w:val="00CB05F6"/>
    <w:rsid w:val="00CB0A86"/>
    <w:rsid w:val="00CB2930"/>
    <w:rsid w:val="00CB2AD8"/>
    <w:rsid w:val="00CB2EA3"/>
    <w:rsid w:val="00CB6665"/>
    <w:rsid w:val="00CB6C40"/>
    <w:rsid w:val="00CC1894"/>
    <w:rsid w:val="00CC24E5"/>
    <w:rsid w:val="00CC3CA9"/>
    <w:rsid w:val="00CC631F"/>
    <w:rsid w:val="00CC7B6C"/>
    <w:rsid w:val="00CD0E36"/>
    <w:rsid w:val="00CD179D"/>
    <w:rsid w:val="00CD2364"/>
    <w:rsid w:val="00CD2D15"/>
    <w:rsid w:val="00CD5C87"/>
    <w:rsid w:val="00CD63F4"/>
    <w:rsid w:val="00CD65CA"/>
    <w:rsid w:val="00CD6607"/>
    <w:rsid w:val="00CD7828"/>
    <w:rsid w:val="00CE1B78"/>
    <w:rsid w:val="00CE2823"/>
    <w:rsid w:val="00CE2E80"/>
    <w:rsid w:val="00CE2FBA"/>
    <w:rsid w:val="00CE44CE"/>
    <w:rsid w:val="00CF0BC9"/>
    <w:rsid w:val="00CF305D"/>
    <w:rsid w:val="00CF3F3B"/>
    <w:rsid w:val="00CF7BC7"/>
    <w:rsid w:val="00D04435"/>
    <w:rsid w:val="00D05DA4"/>
    <w:rsid w:val="00D06FE6"/>
    <w:rsid w:val="00D10AD8"/>
    <w:rsid w:val="00D11D04"/>
    <w:rsid w:val="00D147C0"/>
    <w:rsid w:val="00D20BF8"/>
    <w:rsid w:val="00D21811"/>
    <w:rsid w:val="00D22740"/>
    <w:rsid w:val="00D22A42"/>
    <w:rsid w:val="00D246E2"/>
    <w:rsid w:val="00D2536D"/>
    <w:rsid w:val="00D25ADC"/>
    <w:rsid w:val="00D25CD2"/>
    <w:rsid w:val="00D30369"/>
    <w:rsid w:val="00D30477"/>
    <w:rsid w:val="00D3063B"/>
    <w:rsid w:val="00D346D5"/>
    <w:rsid w:val="00D40708"/>
    <w:rsid w:val="00D40811"/>
    <w:rsid w:val="00D41043"/>
    <w:rsid w:val="00D416E4"/>
    <w:rsid w:val="00D41916"/>
    <w:rsid w:val="00D41962"/>
    <w:rsid w:val="00D43776"/>
    <w:rsid w:val="00D44FC1"/>
    <w:rsid w:val="00D45486"/>
    <w:rsid w:val="00D45765"/>
    <w:rsid w:val="00D457DB"/>
    <w:rsid w:val="00D4663E"/>
    <w:rsid w:val="00D475B9"/>
    <w:rsid w:val="00D50F49"/>
    <w:rsid w:val="00D52501"/>
    <w:rsid w:val="00D53D2F"/>
    <w:rsid w:val="00D55B8C"/>
    <w:rsid w:val="00D56329"/>
    <w:rsid w:val="00D56803"/>
    <w:rsid w:val="00D56ACD"/>
    <w:rsid w:val="00D57133"/>
    <w:rsid w:val="00D576C5"/>
    <w:rsid w:val="00D61BEB"/>
    <w:rsid w:val="00D6735C"/>
    <w:rsid w:val="00D70785"/>
    <w:rsid w:val="00D7323A"/>
    <w:rsid w:val="00D742E4"/>
    <w:rsid w:val="00D74E17"/>
    <w:rsid w:val="00D76CF9"/>
    <w:rsid w:val="00D76F11"/>
    <w:rsid w:val="00D77D9B"/>
    <w:rsid w:val="00D821F5"/>
    <w:rsid w:val="00D830B3"/>
    <w:rsid w:val="00D8327C"/>
    <w:rsid w:val="00D842B9"/>
    <w:rsid w:val="00D842FA"/>
    <w:rsid w:val="00D84484"/>
    <w:rsid w:val="00D84F91"/>
    <w:rsid w:val="00D85DC2"/>
    <w:rsid w:val="00D86783"/>
    <w:rsid w:val="00D9078E"/>
    <w:rsid w:val="00D90E3D"/>
    <w:rsid w:val="00D92A84"/>
    <w:rsid w:val="00D939D4"/>
    <w:rsid w:val="00D94805"/>
    <w:rsid w:val="00D95160"/>
    <w:rsid w:val="00D97CCF"/>
    <w:rsid w:val="00D97F5B"/>
    <w:rsid w:val="00DA02C7"/>
    <w:rsid w:val="00DA2D42"/>
    <w:rsid w:val="00DA4F51"/>
    <w:rsid w:val="00DA64CC"/>
    <w:rsid w:val="00DA6E2A"/>
    <w:rsid w:val="00DB06FF"/>
    <w:rsid w:val="00DB3D0A"/>
    <w:rsid w:val="00DB439E"/>
    <w:rsid w:val="00DB48F2"/>
    <w:rsid w:val="00DC0DF8"/>
    <w:rsid w:val="00DC39B2"/>
    <w:rsid w:val="00DC44A5"/>
    <w:rsid w:val="00DC5FE4"/>
    <w:rsid w:val="00DC60D7"/>
    <w:rsid w:val="00DD021F"/>
    <w:rsid w:val="00DD0D76"/>
    <w:rsid w:val="00DD6A31"/>
    <w:rsid w:val="00DE084B"/>
    <w:rsid w:val="00DE350C"/>
    <w:rsid w:val="00DE470F"/>
    <w:rsid w:val="00DE4E74"/>
    <w:rsid w:val="00DE5A61"/>
    <w:rsid w:val="00DF04D5"/>
    <w:rsid w:val="00DF0A4F"/>
    <w:rsid w:val="00DF5CAF"/>
    <w:rsid w:val="00DF620A"/>
    <w:rsid w:val="00E00944"/>
    <w:rsid w:val="00E01049"/>
    <w:rsid w:val="00E02097"/>
    <w:rsid w:val="00E03191"/>
    <w:rsid w:val="00E0417A"/>
    <w:rsid w:val="00E0458F"/>
    <w:rsid w:val="00E04864"/>
    <w:rsid w:val="00E0607D"/>
    <w:rsid w:val="00E13040"/>
    <w:rsid w:val="00E133D9"/>
    <w:rsid w:val="00E13D1D"/>
    <w:rsid w:val="00E1444E"/>
    <w:rsid w:val="00E208E3"/>
    <w:rsid w:val="00E21B1E"/>
    <w:rsid w:val="00E22E51"/>
    <w:rsid w:val="00E23905"/>
    <w:rsid w:val="00E270EC"/>
    <w:rsid w:val="00E27DCC"/>
    <w:rsid w:val="00E30366"/>
    <w:rsid w:val="00E30EA0"/>
    <w:rsid w:val="00E32884"/>
    <w:rsid w:val="00E35104"/>
    <w:rsid w:val="00E3593F"/>
    <w:rsid w:val="00E369AA"/>
    <w:rsid w:val="00E3763D"/>
    <w:rsid w:val="00E37C25"/>
    <w:rsid w:val="00E41C9A"/>
    <w:rsid w:val="00E45D09"/>
    <w:rsid w:val="00E46941"/>
    <w:rsid w:val="00E46A72"/>
    <w:rsid w:val="00E5039A"/>
    <w:rsid w:val="00E522FB"/>
    <w:rsid w:val="00E53008"/>
    <w:rsid w:val="00E54F5A"/>
    <w:rsid w:val="00E55DAC"/>
    <w:rsid w:val="00E57192"/>
    <w:rsid w:val="00E60808"/>
    <w:rsid w:val="00E6169C"/>
    <w:rsid w:val="00E65C22"/>
    <w:rsid w:val="00E72180"/>
    <w:rsid w:val="00E73D12"/>
    <w:rsid w:val="00E75603"/>
    <w:rsid w:val="00E75E50"/>
    <w:rsid w:val="00E75FC3"/>
    <w:rsid w:val="00E763B5"/>
    <w:rsid w:val="00E771AA"/>
    <w:rsid w:val="00E77910"/>
    <w:rsid w:val="00E80D83"/>
    <w:rsid w:val="00E83889"/>
    <w:rsid w:val="00E86574"/>
    <w:rsid w:val="00E944D8"/>
    <w:rsid w:val="00E94DB9"/>
    <w:rsid w:val="00E9579A"/>
    <w:rsid w:val="00E9641C"/>
    <w:rsid w:val="00EA0A01"/>
    <w:rsid w:val="00EA193F"/>
    <w:rsid w:val="00EA2315"/>
    <w:rsid w:val="00EA46A5"/>
    <w:rsid w:val="00EA6092"/>
    <w:rsid w:val="00EA616A"/>
    <w:rsid w:val="00EA671F"/>
    <w:rsid w:val="00EA67C2"/>
    <w:rsid w:val="00EA7C6C"/>
    <w:rsid w:val="00EB0412"/>
    <w:rsid w:val="00EB5056"/>
    <w:rsid w:val="00EB6133"/>
    <w:rsid w:val="00EB70FE"/>
    <w:rsid w:val="00EB7708"/>
    <w:rsid w:val="00EB7742"/>
    <w:rsid w:val="00EC0328"/>
    <w:rsid w:val="00ED2884"/>
    <w:rsid w:val="00ED2BA1"/>
    <w:rsid w:val="00ED3800"/>
    <w:rsid w:val="00ED4843"/>
    <w:rsid w:val="00ED5818"/>
    <w:rsid w:val="00ED5DFA"/>
    <w:rsid w:val="00ED6379"/>
    <w:rsid w:val="00ED7236"/>
    <w:rsid w:val="00ED7928"/>
    <w:rsid w:val="00EE0352"/>
    <w:rsid w:val="00EE0656"/>
    <w:rsid w:val="00EE0C94"/>
    <w:rsid w:val="00EE0E1C"/>
    <w:rsid w:val="00EE1766"/>
    <w:rsid w:val="00EE43DF"/>
    <w:rsid w:val="00EE6BDC"/>
    <w:rsid w:val="00EE704A"/>
    <w:rsid w:val="00EF0470"/>
    <w:rsid w:val="00EF081C"/>
    <w:rsid w:val="00EF3ECB"/>
    <w:rsid w:val="00EF66B6"/>
    <w:rsid w:val="00EF7BC9"/>
    <w:rsid w:val="00F017E3"/>
    <w:rsid w:val="00F01F8B"/>
    <w:rsid w:val="00F02634"/>
    <w:rsid w:val="00F048F9"/>
    <w:rsid w:val="00F07FF3"/>
    <w:rsid w:val="00F103C1"/>
    <w:rsid w:val="00F10C9E"/>
    <w:rsid w:val="00F110D3"/>
    <w:rsid w:val="00F11133"/>
    <w:rsid w:val="00F134DF"/>
    <w:rsid w:val="00F161E3"/>
    <w:rsid w:val="00F17827"/>
    <w:rsid w:val="00F17AEB"/>
    <w:rsid w:val="00F20AC2"/>
    <w:rsid w:val="00F2338D"/>
    <w:rsid w:val="00F23903"/>
    <w:rsid w:val="00F24519"/>
    <w:rsid w:val="00F246CD"/>
    <w:rsid w:val="00F270B6"/>
    <w:rsid w:val="00F27F8A"/>
    <w:rsid w:val="00F30B4A"/>
    <w:rsid w:val="00F31082"/>
    <w:rsid w:val="00F31F46"/>
    <w:rsid w:val="00F32C15"/>
    <w:rsid w:val="00F33FB4"/>
    <w:rsid w:val="00F34263"/>
    <w:rsid w:val="00F35A96"/>
    <w:rsid w:val="00F36274"/>
    <w:rsid w:val="00F36F7F"/>
    <w:rsid w:val="00F40695"/>
    <w:rsid w:val="00F4240B"/>
    <w:rsid w:val="00F442EF"/>
    <w:rsid w:val="00F456E0"/>
    <w:rsid w:val="00F47BDF"/>
    <w:rsid w:val="00F50050"/>
    <w:rsid w:val="00F532B9"/>
    <w:rsid w:val="00F55219"/>
    <w:rsid w:val="00F5758D"/>
    <w:rsid w:val="00F6206F"/>
    <w:rsid w:val="00F63ECB"/>
    <w:rsid w:val="00F64103"/>
    <w:rsid w:val="00F648F9"/>
    <w:rsid w:val="00F67461"/>
    <w:rsid w:val="00F71258"/>
    <w:rsid w:val="00F71F5E"/>
    <w:rsid w:val="00F75A5C"/>
    <w:rsid w:val="00F80EF2"/>
    <w:rsid w:val="00F827B1"/>
    <w:rsid w:val="00F83687"/>
    <w:rsid w:val="00F83856"/>
    <w:rsid w:val="00F84503"/>
    <w:rsid w:val="00F85C6C"/>
    <w:rsid w:val="00F905B5"/>
    <w:rsid w:val="00F95555"/>
    <w:rsid w:val="00FA2811"/>
    <w:rsid w:val="00FA4E4E"/>
    <w:rsid w:val="00FA5117"/>
    <w:rsid w:val="00FA55D3"/>
    <w:rsid w:val="00FA5988"/>
    <w:rsid w:val="00FA59B0"/>
    <w:rsid w:val="00FA77A6"/>
    <w:rsid w:val="00FB2A49"/>
    <w:rsid w:val="00FB2D44"/>
    <w:rsid w:val="00FB3A25"/>
    <w:rsid w:val="00FB5B20"/>
    <w:rsid w:val="00FB600D"/>
    <w:rsid w:val="00FB6D67"/>
    <w:rsid w:val="00FB6EF8"/>
    <w:rsid w:val="00FB701C"/>
    <w:rsid w:val="00FC32FF"/>
    <w:rsid w:val="00FC4DDF"/>
    <w:rsid w:val="00FC6EE8"/>
    <w:rsid w:val="00FC7C69"/>
    <w:rsid w:val="00FD1686"/>
    <w:rsid w:val="00FD1C32"/>
    <w:rsid w:val="00FD208A"/>
    <w:rsid w:val="00FD26F6"/>
    <w:rsid w:val="00FD29F9"/>
    <w:rsid w:val="00FD3036"/>
    <w:rsid w:val="00FD730E"/>
    <w:rsid w:val="00FD7E61"/>
    <w:rsid w:val="00FE3AFB"/>
    <w:rsid w:val="00FE4AFB"/>
    <w:rsid w:val="00FE5F87"/>
    <w:rsid w:val="00FE693A"/>
    <w:rsid w:val="00FF2E71"/>
    <w:rsid w:val="00FF4C04"/>
    <w:rsid w:val="00FF5DAA"/>
    <w:rsid w:val="01334432"/>
    <w:rsid w:val="0226B496"/>
    <w:rsid w:val="02530F7A"/>
    <w:rsid w:val="02825B0C"/>
    <w:rsid w:val="038C635C"/>
    <w:rsid w:val="04128089"/>
    <w:rsid w:val="04962C35"/>
    <w:rsid w:val="055FA528"/>
    <w:rsid w:val="05B39A45"/>
    <w:rsid w:val="05D64C5B"/>
    <w:rsid w:val="0715F34C"/>
    <w:rsid w:val="0786E0DE"/>
    <w:rsid w:val="07E6C283"/>
    <w:rsid w:val="09DEEBC8"/>
    <w:rsid w:val="0A19DB56"/>
    <w:rsid w:val="0A240EC8"/>
    <w:rsid w:val="0A731585"/>
    <w:rsid w:val="0A968893"/>
    <w:rsid w:val="0B18695D"/>
    <w:rsid w:val="0B358A59"/>
    <w:rsid w:val="0B3D8A87"/>
    <w:rsid w:val="0B7E17F6"/>
    <w:rsid w:val="0C616120"/>
    <w:rsid w:val="0D0A4CF5"/>
    <w:rsid w:val="0D300B39"/>
    <w:rsid w:val="0F3B65B5"/>
    <w:rsid w:val="0F49795E"/>
    <w:rsid w:val="0FED3742"/>
    <w:rsid w:val="10D42553"/>
    <w:rsid w:val="1151D4E8"/>
    <w:rsid w:val="11F72ABE"/>
    <w:rsid w:val="1215C29F"/>
    <w:rsid w:val="138AEFD8"/>
    <w:rsid w:val="1505467E"/>
    <w:rsid w:val="158CFA39"/>
    <w:rsid w:val="15B6805E"/>
    <w:rsid w:val="163B20DC"/>
    <w:rsid w:val="16C3631D"/>
    <w:rsid w:val="16CB014C"/>
    <w:rsid w:val="16F0793F"/>
    <w:rsid w:val="170439D3"/>
    <w:rsid w:val="181E6A26"/>
    <w:rsid w:val="182890CA"/>
    <w:rsid w:val="198BAF5A"/>
    <w:rsid w:val="19B1D946"/>
    <w:rsid w:val="19CF5FBC"/>
    <w:rsid w:val="19D5EE09"/>
    <w:rsid w:val="19DCB17E"/>
    <w:rsid w:val="1B648281"/>
    <w:rsid w:val="1CA1781C"/>
    <w:rsid w:val="1CAF48E7"/>
    <w:rsid w:val="1EAF2682"/>
    <w:rsid w:val="1F1FA253"/>
    <w:rsid w:val="1F60BFA5"/>
    <w:rsid w:val="1F9C6568"/>
    <w:rsid w:val="204C2428"/>
    <w:rsid w:val="2360C524"/>
    <w:rsid w:val="2395ABCD"/>
    <w:rsid w:val="242123F6"/>
    <w:rsid w:val="24C85FDC"/>
    <w:rsid w:val="25FBFBD8"/>
    <w:rsid w:val="266CF9E3"/>
    <w:rsid w:val="267AD799"/>
    <w:rsid w:val="269A924D"/>
    <w:rsid w:val="26CA320B"/>
    <w:rsid w:val="270E3F1E"/>
    <w:rsid w:val="27C4A568"/>
    <w:rsid w:val="2816E862"/>
    <w:rsid w:val="28892C6D"/>
    <w:rsid w:val="28DF69C6"/>
    <w:rsid w:val="28E2B96B"/>
    <w:rsid w:val="2931BF2C"/>
    <w:rsid w:val="297D13B6"/>
    <w:rsid w:val="29C66477"/>
    <w:rsid w:val="29DC82BC"/>
    <w:rsid w:val="2A0AB6AA"/>
    <w:rsid w:val="2A26DA7C"/>
    <w:rsid w:val="2AB6E1E9"/>
    <w:rsid w:val="2B3D9473"/>
    <w:rsid w:val="2B3F23BF"/>
    <w:rsid w:val="2BBAFCA5"/>
    <w:rsid w:val="2C63C89F"/>
    <w:rsid w:val="2C649A88"/>
    <w:rsid w:val="2D81AE87"/>
    <w:rsid w:val="2FF5FD12"/>
    <w:rsid w:val="3033EE91"/>
    <w:rsid w:val="31029CE6"/>
    <w:rsid w:val="311EE05D"/>
    <w:rsid w:val="3133C1B5"/>
    <w:rsid w:val="3213C268"/>
    <w:rsid w:val="324C14B2"/>
    <w:rsid w:val="3283194B"/>
    <w:rsid w:val="32C3E497"/>
    <w:rsid w:val="32DE58D9"/>
    <w:rsid w:val="33BDCE5C"/>
    <w:rsid w:val="33CDC1A2"/>
    <w:rsid w:val="351186AD"/>
    <w:rsid w:val="357C2388"/>
    <w:rsid w:val="35F24ADD"/>
    <w:rsid w:val="36327EFD"/>
    <w:rsid w:val="368C67DC"/>
    <w:rsid w:val="36A75E58"/>
    <w:rsid w:val="3922ED94"/>
    <w:rsid w:val="392CD963"/>
    <w:rsid w:val="396345E8"/>
    <w:rsid w:val="39F33BC7"/>
    <w:rsid w:val="3AE3D5F7"/>
    <w:rsid w:val="3BF6B500"/>
    <w:rsid w:val="3CC9F536"/>
    <w:rsid w:val="3D363919"/>
    <w:rsid w:val="3DA08925"/>
    <w:rsid w:val="3DF63C27"/>
    <w:rsid w:val="3E3E6DE6"/>
    <w:rsid w:val="3E831150"/>
    <w:rsid w:val="4066AA96"/>
    <w:rsid w:val="41B7C27A"/>
    <w:rsid w:val="429285DC"/>
    <w:rsid w:val="449C11D5"/>
    <w:rsid w:val="449F1FF4"/>
    <w:rsid w:val="458E2AE7"/>
    <w:rsid w:val="470FF0AD"/>
    <w:rsid w:val="4727631B"/>
    <w:rsid w:val="47B7AB82"/>
    <w:rsid w:val="4B8E9394"/>
    <w:rsid w:val="4BE40638"/>
    <w:rsid w:val="4C9BF053"/>
    <w:rsid w:val="4CB75F7D"/>
    <w:rsid w:val="4D063289"/>
    <w:rsid w:val="4D57F726"/>
    <w:rsid w:val="4D9CAEA8"/>
    <w:rsid w:val="4EB95D82"/>
    <w:rsid w:val="50953ABF"/>
    <w:rsid w:val="50B0B4F7"/>
    <w:rsid w:val="515F4603"/>
    <w:rsid w:val="5255054E"/>
    <w:rsid w:val="5454ECF5"/>
    <w:rsid w:val="548D5756"/>
    <w:rsid w:val="552C01F4"/>
    <w:rsid w:val="5669463D"/>
    <w:rsid w:val="5787089F"/>
    <w:rsid w:val="58A3DE3E"/>
    <w:rsid w:val="58F1A25E"/>
    <w:rsid w:val="595B9338"/>
    <w:rsid w:val="59F42AFB"/>
    <w:rsid w:val="5ACEBE04"/>
    <w:rsid w:val="5C042FD9"/>
    <w:rsid w:val="5C13F189"/>
    <w:rsid w:val="5C70A50A"/>
    <w:rsid w:val="5C814869"/>
    <w:rsid w:val="5CB402B5"/>
    <w:rsid w:val="5D387DA5"/>
    <w:rsid w:val="5D404AEB"/>
    <w:rsid w:val="5D5ED452"/>
    <w:rsid w:val="5F5DBF37"/>
    <w:rsid w:val="5F6FB4C3"/>
    <w:rsid w:val="61840A7E"/>
    <w:rsid w:val="6255645B"/>
    <w:rsid w:val="6372FA7F"/>
    <w:rsid w:val="64750D0E"/>
    <w:rsid w:val="65C35C53"/>
    <w:rsid w:val="668D6D38"/>
    <w:rsid w:val="669682EE"/>
    <w:rsid w:val="67DC1E38"/>
    <w:rsid w:val="67EA458F"/>
    <w:rsid w:val="68571E78"/>
    <w:rsid w:val="6875625D"/>
    <w:rsid w:val="6AC582D5"/>
    <w:rsid w:val="6ACB7993"/>
    <w:rsid w:val="6B38ACB1"/>
    <w:rsid w:val="6C6C1BE3"/>
    <w:rsid w:val="6C8F76A8"/>
    <w:rsid w:val="6D09EC85"/>
    <w:rsid w:val="6EE4E901"/>
    <w:rsid w:val="6F2F95DB"/>
    <w:rsid w:val="6F3E9EE5"/>
    <w:rsid w:val="6F7B43A7"/>
    <w:rsid w:val="6F8F635F"/>
    <w:rsid w:val="6FF467C8"/>
    <w:rsid w:val="71740821"/>
    <w:rsid w:val="71992708"/>
    <w:rsid w:val="7235517A"/>
    <w:rsid w:val="72A3499C"/>
    <w:rsid w:val="72CB484C"/>
    <w:rsid w:val="72CFBF1D"/>
    <w:rsid w:val="73AAC95C"/>
    <w:rsid w:val="73B38F85"/>
    <w:rsid w:val="73D60B3E"/>
    <w:rsid w:val="74D35CF6"/>
    <w:rsid w:val="74D54CCB"/>
    <w:rsid w:val="758D44D2"/>
    <w:rsid w:val="759791CC"/>
    <w:rsid w:val="76BA5BEF"/>
    <w:rsid w:val="76D36B21"/>
    <w:rsid w:val="76EA03FF"/>
    <w:rsid w:val="77CEC73D"/>
    <w:rsid w:val="789D0A79"/>
    <w:rsid w:val="7A39AE47"/>
    <w:rsid w:val="7EE14652"/>
    <w:rsid w:val="7F5FE4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AA695"/>
  <w15:chartTrackingRefBased/>
  <w15:docId w15:val="{21B9055F-198B-4773-A867-1A0F930F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50E"/>
    <w:rPr>
      <w:rFonts w:ascii="Times New Roman" w:hAnsi="Times New Roman"/>
      <w:sz w:val="24"/>
    </w:rPr>
  </w:style>
  <w:style w:type="paragraph" w:styleId="Heading1">
    <w:name w:val="heading 1"/>
    <w:basedOn w:val="Normal"/>
    <w:next w:val="Normal"/>
    <w:link w:val="Heading1Char"/>
    <w:uiPriority w:val="9"/>
    <w:qFormat/>
    <w:rsid w:val="00DA2D42"/>
    <w:pPr>
      <w:keepNext/>
      <w:keepLines/>
      <w:spacing w:before="240" w:after="0"/>
      <w:outlineLvl w:val="0"/>
    </w:pPr>
    <w:rPr>
      <w:rFonts w:ascii="Bodoni MT Black" w:eastAsiaTheme="majorEastAsia" w:hAnsi="Bodoni MT Black" w:cstheme="majorBidi"/>
      <w:color w:val="1F6C7B"/>
      <w:sz w:val="32"/>
      <w:szCs w:val="32"/>
    </w:rPr>
  </w:style>
  <w:style w:type="paragraph" w:styleId="Heading2">
    <w:name w:val="heading 2"/>
    <w:basedOn w:val="Normal"/>
    <w:next w:val="Normal"/>
    <w:link w:val="Heading2Char"/>
    <w:uiPriority w:val="9"/>
    <w:unhideWhenUsed/>
    <w:qFormat/>
    <w:rsid w:val="00624E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95160"/>
    <w:pPr>
      <w:keepNext/>
      <w:keepLines/>
      <w:spacing w:before="40" w:after="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unhideWhenUsed/>
    <w:qFormat/>
    <w:rsid w:val="005670C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D42"/>
    <w:rPr>
      <w:rFonts w:ascii="Bodoni MT Black" w:eastAsiaTheme="majorEastAsia" w:hAnsi="Bodoni MT Black" w:cstheme="majorBidi"/>
      <w:color w:val="1F6C7B"/>
      <w:sz w:val="32"/>
      <w:szCs w:val="32"/>
    </w:rPr>
  </w:style>
  <w:style w:type="character" w:customStyle="1" w:styleId="Heading2Char">
    <w:name w:val="Heading 2 Char"/>
    <w:basedOn w:val="DefaultParagraphFont"/>
    <w:link w:val="Heading2"/>
    <w:uiPriority w:val="9"/>
    <w:rsid w:val="00624EA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95160"/>
    <w:rPr>
      <w:rFonts w:ascii="Times New Roman" w:eastAsiaTheme="majorEastAsia" w:hAnsi="Times New Roman" w:cstheme="majorBidi"/>
      <w:color w:val="1F4D78" w:themeColor="accent1" w:themeShade="7F"/>
      <w:sz w:val="24"/>
      <w:szCs w:val="24"/>
    </w:rPr>
  </w:style>
  <w:style w:type="character" w:customStyle="1" w:styleId="Heading4Char">
    <w:name w:val="Heading 4 Char"/>
    <w:basedOn w:val="DefaultParagraphFont"/>
    <w:link w:val="Heading4"/>
    <w:uiPriority w:val="9"/>
    <w:rsid w:val="005670C5"/>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110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B47"/>
  </w:style>
  <w:style w:type="paragraph" w:styleId="Footer">
    <w:name w:val="footer"/>
    <w:basedOn w:val="Normal"/>
    <w:link w:val="FooterChar"/>
    <w:uiPriority w:val="99"/>
    <w:unhideWhenUsed/>
    <w:rsid w:val="00110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B47"/>
  </w:style>
  <w:style w:type="paragraph" w:styleId="Title">
    <w:name w:val="Title"/>
    <w:basedOn w:val="Normal"/>
    <w:next w:val="Normal"/>
    <w:link w:val="TitleChar"/>
    <w:uiPriority w:val="10"/>
    <w:qFormat/>
    <w:rsid w:val="00110B47"/>
    <w:pPr>
      <w:spacing w:after="0" w:line="240" w:lineRule="auto"/>
      <w:contextualSpacing/>
    </w:pPr>
    <w:rPr>
      <w:rFonts w:ascii="Bodoni MT Black" w:eastAsiaTheme="majorEastAsia" w:hAnsi="Bodoni MT Black" w:cstheme="majorBidi"/>
      <w:color w:val="156285"/>
      <w:spacing w:val="-10"/>
      <w:kern w:val="28"/>
      <w:sz w:val="72"/>
      <w:szCs w:val="56"/>
    </w:rPr>
  </w:style>
  <w:style w:type="character" w:customStyle="1" w:styleId="TitleChar">
    <w:name w:val="Title Char"/>
    <w:basedOn w:val="DefaultParagraphFont"/>
    <w:link w:val="Title"/>
    <w:uiPriority w:val="10"/>
    <w:rsid w:val="00110B47"/>
    <w:rPr>
      <w:rFonts w:ascii="Bodoni MT Black" w:eastAsiaTheme="majorEastAsia" w:hAnsi="Bodoni MT Black" w:cstheme="majorBidi"/>
      <w:color w:val="156285"/>
      <w:spacing w:val="-10"/>
      <w:kern w:val="28"/>
      <w:sz w:val="72"/>
      <w:szCs w:val="56"/>
    </w:rPr>
  </w:style>
  <w:style w:type="paragraph" w:styleId="NoSpacing">
    <w:name w:val="No Spacing"/>
    <w:uiPriority w:val="1"/>
    <w:qFormat/>
    <w:rsid w:val="00110B47"/>
    <w:pPr>
      <w:spacing w:after="0" w:line="240" w:lineRule="auto"/>
    </w:pPr>
  </w:style>
  <w:style w:type="paragraph" w:styleId="ListParagraph">
    <w:name w:val="List Paragraph"/>
    <w:basedOn w:val="Normal"/>
    <w:uiPriority w:val="34"/>
    <w:qFormat/>
    <w:rsid w:val="00035A3D"/>
    <w:pPr>
      <w:ind w:left="720"/>
      <w:contextualSpacing/>
    </w:pPr>
  </w:style>
  <w:style w:type="character" w:styleId="Hyperlink">
    <w:name w:val="Hyperlink"/>
    <w:basedOn w:val="DefaultParagraphFont"/>
    <w:uiPriority w:val="99"/>
    <w:unhideWhenUsed/>
    <w:rsid w:val="00D97CCF"/>
    <w:rPr>
      <w:color w:val="0563C1" w:themeColor="hyperlink"/>
      <w:u w:val="single"/>
    </w:rPr>
  </w:style>
  <w:style w:type="table" w:styleId="TableGrid">
    <w:name w:val="Table Grid"/>
    <w:basedOn w:val="TableNormal"/>
    <w:uiPriority w:val="39"/>
    <w:rsid w:val="00D95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5160"/>
    <w:rPr>
      <w:color w:val="808080"/>
    </w:rPr>
  </w:style>
  <w:style w:type="paragraph" w:styleId="BalloonText">
    <w:name w:val="Balloon Text"/>
    <w:basedOn w:val="Normal"/>
    <w:link w:val="BalloonTextChar"/>
    <w:uiPriority w:val="99"/>
    <w:semiHidden/>
    <w:unhideWhenUsed/>
    <w:rsid w:val="00D951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60"/>
    <w:rPr>
      <w:rFonts w:ascii="Segoe UI" w:hAnsi="Segoe UI" w:cs="Segoe UI"/>
      <w:sz w:val="18"/>
      <w:szCs w:val="18"/>
    </w:rPr>
  </w:style>
  <w:style w:type="character" w:styleId="CommentReference">
    <w:name w:val="annotation reference"/>
    <w:basedOn w:val="DefaultParagraphFont"/>
    <w:uiPriority w:val="99"/>
    <w:semiHidden/>
    <w:unhideWhenUsed/>
    <w:rsid w:val="00D95160"/>
    <w:rPr>
      <w:sz w:val="16"/>
      <w:szCs w:val="16"/>
    </w:rPr>
  </w:style>
  <w:style w:type="paragraph" w:styleId="CommentText">
    <w:name w:val="annotation text"/>
    <w:basedOn w:val="Normal"/>
    <w:link w:val="CommentTextChar"/>
    <w:uiPriority w:val="99"/>
    <w:unhideWhenUsed/>
    <w:rsid w:val="00D95160"/>
    <w:pPr>
      <w:spacing w:line="240" w:lineRule="auto"/>
    </w:pPr>
    <w:rPr>
      <w:sz w:val="20"/>
      <w:szCs w:val="20"/>
    </w:rPr>
  </w:style>
  <w:style w:type="character" w:customStyle="1" w:styleId="CommentTextChar">
    <w:name w:val="Comment Text Char"/>
    <w:basedOn w:val="DefaultParagraphFont"/>
    <w:link w:val="CommentText"/>
    <w:uiPriority w:val="99"/>
    <w:rsid w:val="00D95160"/>
    <w:rPr>
      <w:sz w:val="20"/>
      <w:szCs w:val="20"/>
    </w:rPr>
  </w:style>
  <w:style w:type="paragraph" w:styleId="CommentSubject">
    <w:name w:val="annotation subject"/>
    <w:basedOn w:val="CommentText"/>
    <w:next w:val="CommentText"/>
    <w:link w:val="CommentSubjectChar"/>
    <w:uiPriority w:val="99"/>
    <w:semiHidden/>
    <w:unhideWhenUsed/>
    <w:rsid w:val="00D95160"/>
    <w:rPr>
      <w:b/>
      <w:bCs/>
    </w:rPr>
  </w:style>
  <w:style w:type="character" w:customStyle="1" w:styleId="CommentSubjectChar">
    <w:name w:val="Comment Subject Char"/>
    <w:basedOn w:val="CommentTextChar"/>
    <w:link w:val="CommentSubject"/>
    <w:uiPriority w:val="99"/>
    <w:semiHidden/>
    <w:rsid w:val="00D95160"/>
    <w:rPr>
      <w:b/>
      <w:bCs/>
      <w:sz w:val="20"/>
      <w:szCs w:val="20"/>
    </w:rPr>
  </w:style>
  <w:style w:type="paragraph" w:styleId="Subtitle">
    <w:name w:val="Subtitle"/>
    <w:basedOn w:val="Normal"/>
    <w:next w:val="Normal"/>
    <w:link w:val="SubtitleChar"/>
    <w:uiPriority w:val="11"/>
    <w:qFormat/>
    <w:rsid w:val="00D9516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5160"/>
    <w:rPr>
      <w:rFonts w:eastAsiaTheme="minorEastAsia"/>
      <w:color w:val="5A5A5A" w:themeColor="text1" w:themeTint="A5"/>
      <w:spacing w:val="15"/>
    </w:rPr>
  </w:style>
  <w:style w:type="character" w:styleId="IntenseEmphasis">
    <w:name w:val="Intense Emphasis"/>
    <w:basedOn w:val="DefaultParagraphFont"/>
    <w:uiPriority w:val="21"/>
    <w:qFormat/>
    <w:rsid w:val="00D95160"/>
    <w:rPr>
      <w:i/>
      <w:iCs/>
      <w:color w:val="5B9BD5" w:themeColor="accent1"/>
    </w:rPr>
  </w:style>
  <w:style w:type="table" w:styleId="PlainTable1">
    <w:name w:val="Plain Table 1"/>
    <w:basedOn w:val="TableNormal"/>
    <w:uiPriority w:val="41"/>
    <w:rsid w:val="00D951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ubhead">
    <w:name w:val="sub head"/>
    <w:basedOn w:val="Normal"/>
    <w:qFormat/>
    <w:rsid w:val="00D95160"/>
    <w:pPr>
      <w:spacing w:before="240" w:after="0" w:line="240" w:lineRule="auto"/>
    </w:pPr>
    <w:rPr>
      <w:rFonts w:ascii="Arial" w:eastAsia="Times New Roman" w:hAnsi="Arial" w:cs="Arial"/>
      <w:b/>
      <w:bCs/>
      <w:color w:val="000000"/>
      <w:szCs w:val="24"/>
    </w:rPr>
  </w:style>
  <w:style w:type="paragraph" w:styleId="NormalWeb">
    <w:name w:val="Normal (Web)"/>
    <w:basedOn w:val="Normal"/>
    <w:uiPriority w:val="99"/>
    <w:unhideWhenUsed/>
    <w:rsid w:val="00D95160"/>
    <w:pPr>
      <w:spacing w:after="0" w:line="240" w:lineRule="auto"/>
    </w:pPr>
    <w:rPr>
      <w:rFonts w:cs="Times New Roman"/>
      <w:szCs w:val="24"/>
    </w:rPr>
  </w:style>
  <w:style w:type="paragraph" w:styleId="BodyText">
    <w:name w:val="Body Text"/>
    <w:basedOn w:val="Normal"/>
    <w:link w:val="BodyTextChar"/>
    <w:uiPriority w:val="1"/>
    <w:qFormat/>
    <w:rsid w:val="00AA0E20"/>
    <w:pPr>
      <w:widowControl w:val="0"/>
      <w:autoSpaceDE w:val="0"/>
      <w:autoSpaceDN w:val="0"/>
      <w:spacing w:after="0" w:line="240" w:lineRule="auto"/>
    </w:pPr>
    <w:rPr>
      <w:rFonts w:eastAsia="Times New Roman" w:cs="Times New Roman"/>
    </w:rPr>
  </w:style>
  <w:style w:type="character" w:customStyle="1" w:styleId="BodyTextChar">
    <w:name w:val="Body Text Char"/>
    <w:basedOn w:val="DefaultParagraphFont"/>
    <w:link w:val="BodyText"/>
    <w:uiPriority w:val="1"/>
    <w:rsid w:val="00AA0E20"/>
    <w:rPr>
      <w:rFonts w:ascii="Times New Roman" w:eastAsia="Times New Roman" w:hAnsi="Times New Roman" w:cs="Times New Roman"/>
    </w:rPr>
  </w:style>
  <w:style w:type="paragraph" w:customStyle="1" w:styleId="TableParagraph">
    <w:name w:val="Table Paragraph"/>
    <w:basedOn w:val="Normal"/>
    <w:uiPriority w:val="1"/>
    <w:qFormat/>
    <w:rsid w:val="00AA0E20"/>
    <w:pPr>
      <w:widowControl w:val="0"/>
      <w:autoSpaceDE w:val="0"/>
      <w:autoSpaceDN w:val="0"/>
      <w:spacing w:after="0" w:line="240" w:lineRule="auto"/>
    </w:pPr>
    <w:rPr>
      <w:rFonts w:eastAsia="Times New Roman" w:cs="Times New Roman"/>
    </w:rPr>
  </w:style>
  <w:style w:type="table" w:customStyle="1" w:styleId="TableGrid1">
    <w:name w:val="Table Grid1"/>
    <w:basedOn w:val="TableNormal"/>
    <w:next w:val="TableGrid"/>
    <w:uiPriority w:val="39"/>
    <w:rsid w:val="00AA1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B4FA7"/>
    <w:pPr>
      <w:outlineLvl w:val="9"/>
    </w:pPr>
    <w:rPr>
      <w:rFonts w:asciiTheme="majorHAnsi" w:hAnsiTheme="majorHAnsi"/>
      <w:color w:val="2E74B5" w:themeColor="accent1" w:themeShade="BF"/>
    </w:rPr>
  </w:style>
  <w:style w:type="paragraph" w:styleId="TOC2">
    <w:name w:val="toc 2"/>
    <w:basedOn w:val="Normal"/>
    <w:next w:val="Normal"/>
    <w:autoRedefine/>
    <w:uiPriority w:val="39"/>
    <w:unhideWhenUsed/>
    <w:rsid w:val="003B4FA7"/>
    <w:pPr>
      <w:spacing w:after="100"/>
      <w:ind w:left="220"/>
    </w:pPr>
  </w:style>
  <w:style w:type="paragraph" w:styleId="TOC1">
    <w:name w:val="toc 1"/>
    <w:basedOn w:val="Normal"/>
    <w:next w:val="Normal"/>
    <w:autoRedefine/>
    <w:uiPriority w:val="39"/>
    <w:unhideWhenUsed/>
    <w:rsid w:val="003B4FA7"/>
    <w:pPr>
      <w:spacing w:after="100"/>
    </w:pPr>
  </w:style>
  <w:style w:type="paragraph" w:styleId="TOC3">
    <w:name w:val="toc 3"/>
    <w:basedOn w:val="Normal"/>
    <w:next w:val="Normal"/>
    <w:autoRedefine/>
    <w:uiPriority w:val="39"/>
    <w:unhideWhenUsed/>
    <w:rsid w:val="003B4FA7"/>
    <w:pPr>
      <w:spacing w:after="100"/>
      <w:ind w:left="440"/>
    </w:pPr>
  </w:style>
  <w:style w:type="paragraph" w:styleId="TOC4">
    <w:name w:val="toc 4"/>
    <w:basedOn w:val="Normal"/>
    <w:next w:val="Normal"/>
    <w:autoRedefine/>
    <w:uiPriority w:val="39"/>
    <w:unhideWhenUsed/>
    <w:rsid w:val="009F208D"/>
    <w:pPr>
      <w:spacing w:after="100"/>
      <w:ind w:left="660"/>
    </w:pPr>
    <w:rPr>
      <w:rFonts w:eastAsiaTheme="minorEastAsia"/>
    </w:rPr>
  </w:style>
  <w:style w:type="paragraph" w:styleId="TOC5">
    <w:name w:val="toc 5"/>
    <w:basedOn w:val="Normal"/>
    <w:next w:val="Normal"/>
    <w:autoRedefine/>
    <w:uiPriority w:val="39"/>
    <w:unhideWhenUsed/>
    <w:rsid w:val="009F208D"/>
    <w:pPr>
      <w:spacing w:after="100"/>
      <w:ind w:left="880"/>
    </w:pPr>
    <w:rPr>
      <w:rFonts w:eastAsiaTheme="minorEastAsia"/>
    </w:rPr>
  </w:style>
  <w:style w:type="paragraph" w:styleId="TOC6">
    <w:name w:val="toc 6"/>
    <w:basedOn w:val="Normal"/>
    <w:next w:val="Normal"/>
    <w:autoRedefine/>
    <w:uiPriority w:val="39"/>
    <w:unhideWhenUsed/>
    <w:rsid w:val="009F208D"/>
    <w:pPr>
      <w:spacing w:after="100"/>
      <w:ind w:left="1100"/>
    </w:pPr>
    <w:rPr>
      <w:rFonts w:eastAsiaTheme="minorEastAsia"/>
    </w:rPr>
  </w:style>
  <w:style w:type="paragraph" w:styleId="TOC7">
    <w:name w:val="toc 7"/>
    <w:basedOn w:val="Normal"/>
    <w:next w:val="Normal"/>
    <w:autoRedefine/>
    <w:uiPriority w:val="39"/>
    <w:unhideWhenUsed/>
    <w:rsid w:val="009F208D"/>
    <w:pPr>
      <w:spacing w:after="100"/>
      <w:ind w:left="1320"/>
    </w:pPr>
    <w:rPr>
      <w:rFonts w:eastAsiaTheme="minorEastAsia"/>
    </w:rPr>
  </w:style>
  <w:style w:type="paragraph" w:styleId="TOC8">
    <w:name w:val="toc 8"/>
    <w:basedOn w:val="Normal"/>
    <w:next w:val="Normal"/>
    <w:autoRedefine/>
    <w:uiPriority w:val="39"/>
    <w:unhideWhenUsed/>
    <w:rsid w:val="009F208D"/>
    <w:pPr>
      <w:spacing w:after="100"/>
      <w:ind w:left="1540"/>
    </w:pPr>
    <w:rPr>
      <w:rFonts w:eastAsiaTheme="minorEastAsia"/>
    </w:rPr>
  </w:style>
  <w:style w:type="paragraph" w:styleId="TOC9">
    <w:name w:val="toc 9"/>
    <w:basedOn w:val="Normal"/>
    <w:next w:val="Normal"/>
    <w:autoRedefine/>
    <w:uiPriority w:val="39"/>
    <w:unhideWhenUsed/>
    <w:rsid w:val="009F208D"/>
    <w:pPr>
      <w:spacing w:after="100"/>
      <w:ind w:left="1760"/>
    </w:pPr>
    <w:rPr>
      <w:rFonts w:eastAsiaTheme="minorEastAsia"/>
    </w:rPr>
  </w:style>
  <w:style w:type="paragraph" w:styleId="Revision">
    <w:name w:val="Revision"/>
    <w:hidden/>
    <w:uiPriority w:val="99"/>
    <w:semiHidden/>
    <w:rsid w:val="00043372"/>
    <w:pPr>
      <w:spacing w:after="0" w:line="240" w:lineRule="auto"/>
    </w:pPr>
  </w:style>
  <w:style w:type="character" w:customStyle="1" w:styleId="UnresolvedMention1">
    <w:name w:val="Unresolved Mention1"/>
    <w:basedOn w:val="DefaultParagraphFont"/>
    <w:uiPriority w:val="99"/>
    <w:semiHidden/>
    <w:unhideWhenUsed/>
    <w:rsid w:val="00DA6E2A"/>
    <w:rPr>
      <w:color w:val="605E5C"/>
      <w:shd w:val="clear" w:color="auto" w:fill="E1DFDD"/>
    </w:rPr>
  </w:style>
  <w:style w:type="character" w:styleId="UnresolvedMention">
    <w:name w:val="Unresolved Mention"/>
    <w:basedOn w:val="DefaultParagraphFont"/>
    <w:uiPriority w:val="99"/>
    <w:unhideWhenUsed/>
    <w:rsid w:val="00B57361"/>
    <w:rPr>
      <w:color w:val="605E5C"/>
      <w:shd w:val="clear" w:color="auto" w:fill="E1DFDD"/>
    </w:rPr>
  </w:style>
  <w:style w:type="character" w:styleId="FollowedHyperlink">
    <w:name w:val="FollowedHyperlink"/>
    <w:basedOn w:val="DefaultParagraphFont"/>
    <w:uiPriority w:val="99"/>
    <w:semiHidden/>
    <w:unhideWhenUsed/>
    <w:rsid w:val="00F2338D"/>
    <w:rPr>
      <w:color w:val="954F72" w:themeColor="followedHyperlink"/>
      <w:u w:val="single"/>
    </w:rPr>
  </w:style>
  <w:style w:type="character" w:styleId="Mention">
    <w:name w:val="Mention"/>
    <w:basedOn w:val="DefaultParagraphFont"/>
    <w:uiPriority w:val="99"/>
    <w:unhideWhenUsed/>
    <w:rsid w:val="00D842B9"/>
    <w:rPr>
      <w:color w:val="2B579A"/>
      <w:shd w:val="clear" w:color="auto" w:fill="E1DFDD"/>
    </w:rPr>
  </w:style>
  <w:style w:type="character" w:customStyle="1" w:styleId="findhit">
    <w:name w:val="findhit"/>
    <w:basedOn w:val="DefaultParagraphFont"/>
    <w:rsid w:val="00714417"/>
  </w:style>
  <w:style w:type="character" w:customStyle="1" w:styleId="normaltextrun">
    <w:name w:val="normaltextrun"/>
    <w:basedOn w:val="DefaultParagraphFont"/>
    <w:rsid w:val="00714417"/>
  </w:style>
  <w:style w:type="character" w:customStyle="1" w:styleId="eop">
    <w:name w:val="eop"/>
    <w:basedOn w:val="DefaultParagraphFont"/>
    <w:rsid w:val="00714417"/>
  </w:style>
  <w:style w:type="paragraph" w:customStyle="1" w:styleId="paragraph">
    <w:name w:val="paragraph"/>
    <w:basedOn w:val="Normal"/>
    <w:rsid w:val="00F36274"/>
    <w:pPr>
      <w:spacing w:before="100" w:beforeAutospacing="1" w:after="100" w:afterAutospacing="1" w:line="240" w:lineRule="auto"/>
    </w:pPr>
    <w:rPr>
      <w:rFonts w:eastAsia="Times New Roman" w:cs="Times New Roman"/>
      <w:szCs w:val="24"/>
    </w:rPr>
  </w:style>
  <w:style w:type="character" w:customStyle="1" w:styleId="scxw208224473">
    <w:name w:val="scxw208224473"/>
    <w:basedOn w:val="DefaultParagraphFont"/>
    <w:rsid w:val="00F36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2328">
      <w:bodyDiv w:val="1"/>
      <w:marLeft w:val="0"/>
      <w:marRight w:val="0"/>
      <w:marTop w:val="0"/>
      <w:marBottom w:val="0"/>
      <w:divBdr>
        <w:top w:val="none" w:sz="0" w:space="0" w:color="auto"/>
        <w:left w:val="none" w:sz="0" w:space="0" w:color="auto"/>
        <w:bottom w:val="none" w:sz="0" w:space="0" w:color="auto"/>
        <w:right w:val="none" w:sz="0" w:space="0" w:color="auto"/>
      </w:divBdr>
    </w:div>
    <w:div w:id="172648013">
      <w:bodyDiv w:val="1"/>
      <w:marLeft w:val="0"/>
      <w:marRight w:val="0"/>
      <w:marTop w:val="0"/>
      <w:marBottom w:val="0"/>
      <w:divBdr>
        <w:top w:val="none" w:sz="0" w:space="0" w:color="auto"/>
        <w:left w:val="none" w:sz="0" w:space="0" w:color="auto"/>
        <w:bottom w:val="none" w:sz="0" w:space="0" w:color="auto"/>
        <w:right w:val="none" w:sz="0" w:space="0" w:color="auto"/>
      </w:divBdr>
    </w:div>
    <w:div w:id="243030165">
      <w:bodyDiv w:val="1"/>
      <w:marLeft w:val="0"/>
      <w:marRight w:val="0"/>
      <w:marTop w:val="0"/>
      <w:marBottom w:val="0"/>
      <w:divBdr>
        <w:top w:val="none" w:sz="0" w:space="0" w:color="auto"/>
        <w:left w:val="none" w:sz="0" w:space="0" w:color="auto"/>
        <w:bottom w:val="none" w:sz="0" w:space="0" w:color="auto"/>
        <w:right w:val="none" w:sz="0" w:space="0" w:color="auto"/>
      </w:divBdr>
    </w:div>
    <w:div w:id="342903106">
      <w:bodyDiv w:val="1"/>
      <w:marLeft w:val="0"/>
      <w:marRight w:val="0"/>
      <w:marTop w:val="0"/>
      <w:marBottom w:val="0"/>
      <w:divBdr>
        <w:top w:val="none" w:sz="0" w:space="0" w:color="auto"/>
        <w:left w:val="none" w:sz="0" w:space="0" w:color="auto"/>
        <w:bottom w:val="none" w:sz="0" w:space="0" w:color="auto"/>
        <w:right w:val="none" w:sz="0" w:space="0" w:color="auto"/>
      </w:divBdr>
    </w:div>
    <w:div w:id="391388755">
      <w:bodyDiv w:val="1"/>
      <w:marLeft w:val="0"/>
      <w:marRight w:val="0"/>
      <w:marTop w:val="0"/>
      <w:marBottom w:val="0"/>
      <w:divBdr>
        <w:top w:val="none" w:sz="0" w:space="0" w:color="auto"/>
        <w:left w:val="none" w:sz="0" w:space="0" w:color="auto"/>
        <w:bottom w:val="none" w:sz="0" w:space="0" w:color="auto"/>
        <w:right w:val="none" w:sz="0" w:space="0" w:color="auto"/>
      </w:divBdr>
      <w:divsChild>
        <w:div w:id="1492062707">
          <w:marLeft w:val="0"/>
          <w:marRight w:val="0"/>
          <w:marTop w:val="0"/>
          <w:marBottom w:val="0"/>
          <w:divBdr>
            <w:top w:val="none" w:sz="0" w:space="0" w:color="auto"/>
            <w:left w:val="none" w:sz="0" w:space="0" w:color="auto"/>
            <w:bottom w:val="none" w:sz="0" w:space="0" w:color="auto"/>
            <w:right w:val="none" w:sz="0" w:space="0" w:color="auto"/>
          </w:divBdr>
        </w:div>
      </w:divsChild>
    </w:div>
    <w:div w:id="458575758">
      <w:bodyDiv w:val="1"/>
      <w:marLeft w:val="0"/>
      <w:marRight w:val="0"/>
      <w:marTop w:val="0"/>
      <w:marBottom w:val="0"/>
      <w:divBdr>
        <w:top w:val="none" w:sz="0" w:space="0" w:color="auto"/>
        <w:left w:val="none" w:sz="0" w:space="0" w:color="auto"/>
        <w:bottom w:val="none" w:sz="0" w:space="0" w:color="auto"/>
        <w:right w:val="none" w:sz="0" w:space="0" w:color="auto"/>
      </w:divBdr>
      <w:divsChild>
        <w:div w:id="1795752659">
          <w:marLeft w:val="0"/>
          <w:marRight w:val="0"/>
          <w:marTop w:val="0"/>
          <w:marBottom w:val="0"/>
          <w:divBdr>
            <w:top w:val="none" w:sz="0" w:space="0" w:color="auto"/>
            <w:left w:val="none" w:sz="0" w:space="0" w:color="auto"/>
            <w:bottom w:val="none" w:sz="0" w:space="0" w:color="auto"/>
            <w:right w:val="none" w:sz="0" w:space="0" w:color="auto"/>
          </w:divBdr>
          <w:divsChild>
            <w:div w:id="183904769">
              <w:marLeft w:val="0"/>
              <w:marRight w:val="0"/>
              <w:marTop w:val="0"/>
              <w:marBottom w:val="0"/>
              <w:divBdr>
                <w:top w:val="none" w:sz="0" w:space="0" w:color="auto"/>
                <w:left w:val="none" w:sz="0" w:space="0" w:color="auto"/>
                <w:bottom w:val="none" w:sz="0" w:space="0" w:color="auto"/>
                <w:right w:val="none" w:sz="0" w:space="0" w:color="auto"/>
              </w:divBdr>
            </w:div>
          </w:divsChild>
        </w:div>
        <w:div w:id="1058556093">
          <w:marLeft w:val="0"/>
          <w:marRight w:val="0"/>
          <w:marTop w:val="0"/>
          <w:marBottom w:val="0"/>
          <w:divBdr>
            <w:top w:val="none" w:sz="0" w:space="0" w:color="auto"/>
            <w:left w:val="none" w:sz="0" w:space="0" w:color="auto"/>
            <w:bottom w:val="none" w:sz="0" w:space="0" w:color="auto"/>
            <w:right w:val="none" w:sz="0" w:space="0" w:color="auto"/>
          </w:divBdr>
          <w:divsChild>
            <w:div w:id="1482575896">
              <w:marLeft w:val="0"/>
              <w:marRight w:val="0"/>
              <w:marTop w:val="0"/>
              <w:marBottom w:val="0"/>
              <w:divBdr>
                <w:top w:val="none" w:sz="0" w:space="0" w:color="auto"/>
                <w:left w:val="none" w:sz="0" w:space="0" w:color="auto"/>
                <w:bottom w:val="none" w:sz="0" w:space="0" w:color="auto"/>
                <w:right w:val="none" w:sz="0" w:space="0" w:color="auto"/>
              </w:divBdr>
            </w:div>
          </w:divsChild>
        </w:div>
        <w:div w:id="73361877">
          <w:marLeft w:val="0"/>
          <w:marRight w:val="0"/>
          <w:marTop w:val="0"/>
          <w:marBottom w:val="0"/>
          <w:divBdr>
            <w:top w:val="none" w:sz="0" w:space="0" w:color="auto"/>
            <w:left w:val="none" w:sz="0" w:space="0" w:color="auto"/>
            <w:bottom w:val="none" w:sz="0" w:space="0" w:color="auto"/>
            <w:right w:val="none" w:sz="0" w:space="0" w:color="auto"/>
          </w:divBdr>
          <w:divsChild>
            <w:div w:id="664280823">
              <w:marLeft w:val="0"/>
              <w:marRight w:val="0"/>
              <w:marTop w:val="0"/>
              <w:marBottom w:val="0"/>
              <w:divBdr>
                <w:top w:val="none" w:sz="0" w:space="0" w:color="auto"/>
                <w:left w:val="none" w:sz="0" w:space="0" w:color="auto"/>
                <w:bottom w:val="none" w:sz="0" w:space="0" w:color="auto"/>
                <w:right w:val="none" w:sz="0" w:space="0" w:color="auto"/>
              </w:divBdr>
            </w:div>
            <w:div w:id="2017224514">
              <w:marLeft w:val="0"/>
              <w:marRight w:val="0"/>
              <w:marTop w:val="0"/>
              <w:marBottom w:val="0"/>
              <w:divBdr>
                <w:top w:val="none" w:sz="0" w:space="0" w:color="auto"/>
                <w:left w:val="none" w:sz="0" w:space="0" w:color="auto"/>
                <w:bottom w:val="none" w:sz="0" w:space="0" w:color="auto"/>
                <w:right w:val="none" w:sz="0" w:space="0" w:color="auto"/>
              </w:divBdr>
            </w:div>
          </w:divsChild>
        </w:div>
        <w:div w:id="1651665435">
          <w:marLeft w:val="0"/>
          <w:marRight w:val="0"/>
          <w:marTop w:val="0"/>
          <w:marBottom w:val="0"/>
          <w:divBdr>
            <w:top w:val="none" w:sz="0" w:space="0" w:color="auto"/>
            <w:left w:val="none" w:sz="0" w:space="0" w:color="auto"/>
            <w:bottom w:val="none" w:sz="0" w:space="0" w:color="auto"/>
            <w:right w:val="none" w:sz="0" w:space="0" w:color="auto"/>
          </w:divBdr>
          <w:divsChild>
            <w:div w:id="12714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8242">
      <w:bodyDiv w:val="1"/>
      <w:marLeft w:val="0"/>
      <w:marRight w:val="0"/>
      <w:marTop w:val="0"/>
      <w:marBottom w:val="0"/>
      <w:divBdr>
        <w:top w:val="none" w:sz="0" w:space="0" w:color="auto"/>
        <w:left w:val="none" w:sz="0" w:space="0" w:color="auto"/>
        <w:bottom w:val="none" w:sz="0" w:space="0" w:color="auto"/>
        <w:right w:val="none" w:sz="0" w:space="0" w:color="auto"/>
      </w:divBdr>
    </w:div>
    <w:div w:id="549658805">
      <w:bodyDiv w:val="1"/>
      <w:marLeft w:val="0"/>
      <w:marRight w:val="0"/>
      <w:marTop w:val="0"/>
      <w:marBottom w:val="0"/>
      <w:divBdr>
        <w:top w:val="none" w:sz="0" w:space="0" w:color="auto"/>
        <w:left w:val="none" w:sz="0" w:space="0" w:color="auto"/>
        <w:bottom w:val="none" w:sz="0" w:space="0" w:color="auto"/>
        <w:right w:val="none" w:sz="0" w:space="0" w:color="auto"/>
      </w:divBdr>
    </w:div>
    <w:div w:id="753625861">
      <w:bodyDiv w:val="1"/>
      <w:marLeft w:val="0"/>
      <w:marRight w:val="0"/>
      <w:marTop w:val="0"/>
      <w:marBottom w:val="0"/>
      <w:divBdr>
        <w:top w:val="none" w:sz="0" w:space="0" w:color="auto"/>
        <w:left w:val="none" w:sz="0" w:space="0" w:color="auto"/>
        <w:bottom w:val="none" w:sz="0" w:space="0" w:color="auto"/>
        <w:right w:val="none" w:sz="0" w:space="0" w:color="auto"/>
      </w:divBdr>
    </w:div>
    <w:div w:id="787040710">
      <w:bodyDiv w:val="1"/>
      <w:marLeft w:val="0"/>
      <w:marRight w:val="0"/>
      <w:marTop w:val="0"/>
      <w:marBottom w:val="0"/>
      <w:divBdr>
        <w:top w:val="none" w:sz="0" w:space="0" w:color="auto"/>
        <w:left w:val="none" w:sz="0" w:space="0" w:color="auto"/>
        <w:bottom w:val="none" w:sz="0" w:space="0" w:color="auto"/>
        <w:right w:val="none" w:sz="0" w:space="0" w:color="auto"/>
      </w:divBdr>
    </w:div>
    <w:div w:id="787705678">
      <w:bodyDiv w:val="1"/>
      <w:marLeft w:val="0"/>
      <w:marRight w:val="0"/>
      <w:marTop w:val="0"/>
      <w:marBottom w:val="0"/>
      <w:divBdr>
        <w:top w:val="none" w:sz="0" w:space="0" w:color="auto"/>
        <w:left w:val="none" w:sz="0" w:space="0" w:color="auto"/>
        <w:bottom w:val="none" w:sz="0" w:space="0" w:color="auto"/>
        <w:right w:val="none" w:sz="0" w:space="0" w:color="auto"/>
      </w:divBdr>
    </w:div>
    <w:div w:id="813252678">
      <w:bodyDiv w:val="1"/>
      <w:marLeft w:val="0"/>
      <w:marRight w:val="0"/>
      <w:marTop w:val="0"/>
      <w:marBottom w:val="0"/>
      <w:divBdr>
        <w:top w:val="none" w:sz="0" w:space="0" w:color="auto"/>
        <w:left w:val="none" w:sz="0" w:space="0" w:color="auto"/>
        <w:bottom w:val="none" w:sz="0" w:space="0" w:color="auto"/>
        <w:right w:val="none" w:sz="0" w:space="0" w:color="auto"/>
      </w:divBdr>
    </w:div>
    <w:div w:id="821896003">
      <w:bodyDiv w:val="1"/>
      <w:marLeft w:val="0"/>
      <w:marRight w:val="0"/>
      <w:marTop w:val="0"/>
      <w:marBottom w:val="0"/>
      <w:divBdr>
        <w:top w:val="none" w:sz="0" w:space="0" w:color="auto"/>
        <w:left w:val="none" w:sz="0" w:space="0" w:color="auto"/>
        <w:bottom w:val="none" w:sz="0" w:space="0" w:color="auto"/>
        <w:right w:val="none" w:sz="0" w:space="0" w:color="auto"/>
      </w:divBdr>
    </w:div>
    <w:div w:id="1169443957">
      <w:bodyDiv w:val="1"/>
      <w:marLeft w:val="0"/>
      <w:marRight w:val="0"/>
      <w:marTop w:val="0"/>
      <w:marBottom w:val="0"/>
      <w:divBdr>
        <w:top w:val="none" w:sz="0" w:space="0" w:color="auto"/>
        <w:left w:val="none" w:sz="0" w:space="0" w:color="auto"/>
        <w:bottom w:val="none" w:sz="0" w:space="0" w:color="auto"/>
        <w:right w:val="none" w:sz="0" w:space="0" w:color="auto"/>
      </w:divBdr>
      <w:divsChild>
        <w:div w:id="18432604">
          <w:marLeft w:val="0"/>
          <w:marRight w:val="0"/>
          <w:marTop w:val="0"/>
          <w:marBottom w:val="0"/>
          <w:divBdr>
            <w:top w:val="none" w:sz="0" w:space="0" w:color="auto"/>
            <w:left w:val="none" w:sz="0" w:space="0" w:color="auto"/>
            <w:bottom w:val="none" w:sz="0" w:space="0" w:color="auto"/>
            <w:right w:val="none" w:sz="0" w:space="0" w:color="auto"/>
          </w:divBdr>
        </w:div>
        <w:div w:id="21631787">
          <w:marLeft w:val="0"/>
          <w:marRight w:val="0"/>
          <w:marTop w:val="0"/>
          <w:marBottom w:val="0"/>
          <w:divBdr>
            <w:top w:val="none" w:sz="0" w:space="0" w:color="auto"/>
            <w:left w:val="none" w:sz="0" w:space="0" w:color="auto"/>
            <w:bottom w:val="none" w:sz="0" w:space="0" w:color="auto"/>
            <w:right w:val="none" w:sz="0" w:space="0" w:color="auto"/>
          </w:divBdr>
        </w:div>
        <w:div w:id="74742723">
          <w:marLeft w:val="0"/>
          <w:marRight w:val="0"/>
          <w:marTop w:val="0"/>
          <w:marBottom w:val="0"/>
          <w:divBdr>
            <w:top w:val="none" w:sz="0" w:space="0" w:color="auto"/>
            <w:left w:val="none" w:sz="0" w:space="0" w:color="auto"/>
            <w:bottom w:val="none" w:sz="0" w:space="0" w:color="auto"/>
            <w:right w:val="none" w:sz="0" w:space="0" w:color="auto"/>
          </w:divBdr>
        </w:div>
        <w:div w:id="195626794">
          <w:marLeft w:val="0"/>
          <w:marRight w:val="0"/>
          <w:marTop w:val="0"/>
          <w:marBottom w:val="0"/>
          <w:divBdr>
            <w:top w:val="none" w:sz="0" w:space="0" w:color="auto"/>
            <w:left w:val="none" w:sz="0" w:space="0" w:color="auto"/>
            <w:bottom w:val="none" w:sz="0" w:space="0" w:color="auto"/>
            <w:right w:val="none" w:sz="0" w:space="0" w:color="auto"/>
          </w:divBdr>
        </w:div>
        <w:div w:id="758209629">
          <w:marLeft w:val="0"/>
          <w:marRight w:val="0"/>
          <w:marTop w:val="0"/>
          <w:marBottom w:val="0"/>
          <w:divBdr>
            <w:top w:val="none" w:sz="0" w:space="0" w:color="auto"/>
            <w:left w:val="none" w:sz="0" w:space="0" w:color="auto"/>
            <w:bottom w:val="none" w:sz="0" w:space="0" w:color="auto"/>
            <w:right w:val="none" w:sz="0" w:space="0" w:color="auto"/>
          </w:divBdr>
        </w:div>
        <w:div w:id="769161799">
          <w:marLeft w:val="0"/>
          <w:marRight w:val="0"/>
          <w:marTop w:val="0"/>
          <w:marBottom w:val="0"/>
          <w:divBdr>
            <w:top w:val="none" w:sz="0" w:space="0" w:color="auto"/>
            <w:left w:val="none" w:sz="0" w:space="0" w:color="auto"/>
            <w:bottom w:val="none" w:sz="0" w:space="0" w:color="auto"/>
            <w:right w:val="none" w:sz="0" w:space="0" w:color="auto"/>
          </w:divBdr>
        </w:div>
        <w:div w:id="940724814">
          <w:marLeft w:val="0"/>
          <w:marRight w:val="0"/>
          <w:marTop w:val="0"/>
          <w:marBottom w:val="0"/>
          <w:divBdr>
            <w:top w:val="none" w:sz="0" w:space="0" w:color="auto"/>
            <w:left w:val="none" w:sz="0" w:space="0" w:color="auto"/>
            <w:bottom w:val="none" w:sz="0" w:space="0" w:color="auto"/>
            <w:right w:val="none" w:sz="0" w:space="0" w:color="auto"/>
          </w:divBdr>
        </w:div>
        <w:div w:id="1128624452">
          <w:marLeft w:val="0"/>
          <w:marRight w:val="0"/>
          <w:marTop w:val="0"/>
          <w:marBottom w:val="0"/>
          <w:divBdr>
            <w:top w:val="none" w:sz="0" w:space="0" w:color="auto"/>
            <w:left w:val="none" w:sz="0" w:space="0" w:color="auto"/>
            <w:bottom w:val="none" w:sz="0" w:space="0" w:color="auto"/>
            <w:right w:val="none" w:sz="0" w:space="0" w:color="auto"/>
          </w:divBdr>
        </w:div>
        <w:div w:id="1285044486">
          <w:marLeft w:val="0"/>
          <w:marRight w:val="0"/>
          <w:marTop w:val="0"/>
          <w:marBottom w:val="0"/>
          <w:divBdr>
            <w:top w:val="none" w:sz="0" w:space="0" w:color="auto"/>
            <w:left w:val="none" w:sz="0" w:space="0" w:color="auto"/>
            <w:bottom w:val="none" w:sz="0" w:space="0" w:color="auto"/>
            <w:right w:val="none" w:sz="0" w:space="0" w:color="auto"/>
          </w:divBdr>
        </w:div>
        <w:div w:id="1362976766">
          <w:marLeft w:val="0"/>
          <w:marRight w:val="0"/>
          <w:marTop w:val="0"/>
          <w:marBottom w:val="0"/>
          <w:divBdr>
            <w:top w:val="none" w:sz="0" w:space="0" w:color="auto"/>
            <w:left w:val="none" w:sz="0" w:space="0" w:color="auto"/>
            <w:bottom w:val="none" w:sz="0" w:space="0" w:color="auto"/>
            <w:right w:val="none" w:sz="0" w:space="0" w:color="auto"/>
          </w:divBdr>
        </w:div>
        <w:div w:id="1433167444">
          <w:marLeft w:val="0"/>
          <w:marRight w:val="0"/>
          <w:marTop w:val="0"/>
          <w:marBottom w:val="0"/>
          <w:divBdr>
            <w:top w:val="none" w:sz="0" w:space="0" w:color="auto"/>
            <w:left w:val="none" w:sz="0" w:space="0" w:color="auto"/>
            <w:bottom w:val="none" w:sz="0" w:space="0" w:color="auto"/>
            <w:right w:val="none" w:sz="0" w:space="0" w:color="auto"/>
          </w:divBdr>
        </w:div>
        <w:div w:id="1444156415">
          <w:marLeft w:val="0"/>
          <w:marRight w:val="0"/>
          <w:marTop w:val="0"/>
          <w:marBottom w:val="0"/>
          <w:divBdr>
            <w:top w:val="none" w:sz="0" w:space="0" w:color="auto"/>
            <w:left w:val="none" w:sz="0" w:space="0" w:color="auto"/>
            <w:bottom w:val="none" w:sz="0" w:space="0" w:color="auto"/>
            <w:right w:val="none" w:sz="0" w:space="0" w:color="auto"/>
          </w:divBdr>
        </w:div>
        <w:div w:id="1757702777">
          <w:marLeft w:val="0"/>
          <w:marRight w:val="0"/>
          <w:marTop w:val="0"/>
          <w:marBottom w:val="0"/>
          <w:divBdr>
            <w:top w:val="none" w:sz="0" w:space="0" w:color="auto"/>
            <w:left w:val="none" w:sz="0" w:space="0" w:color="auto"/>
            <w:bottom w:val="none" w:sz="0" w:space="0" w:color="auto"/>
            <w:right w:val="none" w:sz="0" w:space="0" w:color="auto"/>
          </w:divBdr>
        </w:div>
      </w:divsChild>
    </w:div>
    <w:div w:id="1300645126">
      <w:bodyDiv w:val="1"/>
      <w:marLeft w:val="0"/>
      <w:marRight w:val="0"/>
      <w:marTop w:val="0"/>
      <w:marBottom w:val="0"/>
      <w:divBdr>
        <w:top w:val="none" w:sz="0" w:space="0" w:color="auto"/>
        <w:left w:val="none" w:sz="0" w:space="0" w:color="auto"/>
        <w:bottom w:val="none" w:sz="0" w:space="0" w:color="auto"/>
        <w:right w:val="none" w:sz="0" w:space="0" w:color="auto"/>
      </w:divBdr>
    </w:div>
    <w:div w:id="1341664770">
      <w:bodyDiv w:val="1"/>
      <w:marLeft w:val="0"/>
      <w:marRight w:val="0"/>
      <w:marTop w:val="0"/>
      <w:marBottom w:val="0"/>
      <w:divBdr>
        <w:top w:val="none" w:sz="0" w:space="0" w:color="auto"/>
        <w:left w:val="none" w:sz="0" w:space="0" w:color="auto"/>
        <w:bottom w:val="none" w:sz="0" w:space="0" w:color="auto"/>
        <w:right w:val="none" w:sz="0" w:space="0" w:color="auto"/>
      </w:divBdr>
    </w:div>
    <w:div w:id="1693336510">
      <w:bodyDiv w:val="1"/>
      <w:marLeft w:val="0"/>
      <w:marRight w:val="0"/>
      <w:marTop w:val="0"/>
      <w:marBottom w:val="0"/>
      <w:divBdr>
        <w:top w:val="none" w:sz="0" w:space="0" w:color="auto"/>
        <w:left w:val="none" w:sz="0" w:space="0" w:color="auto"/>
        <w:bottom w:val="none" w:sz="0" w:space="0" w:color="auto"/>
        <w:right w:val="none" w:sz="0" w:space="0" w:color="auto"/>
      </w:divBdr>
    </w:div>
    <w:div w:id="1736582552">
      <w:bodyDiv w:val="1"/>
      <w:marLeft w:val="0"/>
      <w:marRight w:val="0"/>
      <w:marTop w:val="0"/>
      <w:marBottom w:val="0"/>
      <w:divBdr>
        <w:top w:val="none" w:sz="0" w:space="0" w:color="auto"/>
        <w:left w:val="none" w:sz="0" w:space="0" w:color="auto"/>
        <w:bottom w:val="none" w:sz="0" w:space="0" w:color="auto"/>
        <w:right w:val="none" w:sz="0" w:space="0" w:color="auto"/>
      </w:divBdr>
    </w:div>
    <w:div w:id="1893688752">
      <w:bodyDiv w:val="1"/>
      <w:marLeft w:val="0"/>
      <w:marRight w:val="0"/>
      <w:marTop w:val="0"/>
      <w:marBottom w:val="0"/>
      <w:divBdr>
        <w:top w:val="none" w:sz="0" w:space="0" w:color="auto"/>
        <w:left w:val="none" w:sz="0" w:space="0" w:color="auto"/>
        <w:bottom w:val="none" w:sz="0" w:space="0" w:color="auto"/>
        <w:right w:val="none" w:sz="0" w:space="0" w:color="auto"/>
      </w:divBdr>
    </w:div>
    <w:div w:id="1996688642">
      <w:bodyDiv w:val="1"/>
      <w:marLeft w:val="0"/>
      <w:marRight w:val="0"/>
      <w:marTop w:val="0"/>
      <w:marBottom w:val="0"/>
      <w:divBdr>
        <w:top w:val="none" w:sz="0" w:space="0" w:color="auto"/>
        <w:left w:val="none" w:sz="0" w:space="0" w:color="auto"/>
        <w:bottom w:val="none" w:sz="0" w:space="0" w:color="auto"/>
        <w:right w:val="none" w:sz="0" w:space="0" w:color="auto"/>
      </w:divBdr>
    </w:div>
    <w:div w:id="2126657628">
      <w:bodyDiv w:val="1"/>
      <w:marLeft w:val="0"/>
      <w:marRight w:val="0"/>
      <w:marTop w:val="0"/>
      <w:marBottom w:val="0"/>
      <w:divBdr>
        <w:top w:val="none" w:sz="0" w:space="0" w:color="auto"/>
        <w:left w:val="none" w:sz="0" w:space="0" w:color="auto"/>
        <w:bottom w:val="none" w:sz="0" w:space="0" w:color="auto"/>
        <w:right w:val="none" w:sz="0" w:space="0" w:color="auto"/>
      </w:divBdr>
    </w:div>
    <w:div w:id="212961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ure.sos.state.or.us/oard/ruleSearch.action" TargetMode="External"/><Relationship Id="rId18" Type="http://schemas.openxmlformats.org/officeDocument/2006/relationships/image" Target="media/image2.png"/><Relationship Id="rId26" Type="http://schemas.openxmlformats.org/officeDocument/2006/relationships/hyperlink" Target="mailto:PriorAuthorizations@umpquahealth.com" TargetMode="External"/><Relationship Id="rId21" Type="http://schemas.openxmlformats.org/officeDocument/2006/relationships/image" Target="media/image5.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oregon.gov/oha/HSD/OHP/pages/policies.aspx"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riorAuthorizations@umpquahealth.com" TargetMode="External"/><Relationship Id="rId20" Type="http://schemas.openxmlformats.org/officeDocument/2006/relationships/image" Target="media/image4.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ha/HPA/DSI-HERC/Pages/Prioritized-List.aspx" TargetMode="External"/><Relationship Id="rId24" Type="http://schemas.openxmlformats.org/officeDocument/2006/relationships/image" Target="media/image8.png"/><Relationship Id="rId32" Type="http://schemas.openxmlformats.org/officeDocument/2006/relationships/footer" Target="footer1.xml"/><Relationship Id="rId37"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mailto:Priorauthorizations@umpquahealth.com" TargetMode="External"/><Relationship Id="rId23" Type="http://schemas.openxmlformats.org/officeDocument/2006/relationships/image" Target="media/image7.png"/><Relationship Id="rId28" Type="http://schemas.openxmlformats.org/officeDocument/2006/relationships/hyperlink" Target="http://www.umpquahealth.com/priorauthorization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mpquahealth.com/clinical-practice-guidelines/" TargetMode="Externa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hyperlink" Target="mailto:priorauthorizations@umpquahealth.com"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17FBC13A774468D6CBBA5512FC594" ma:contentTypeVersion="23" ma:contentTypeDescription="Create a new document." ma:contentTypeScope="" ma:versionID="b85959de2b3f1b94f25ad866c028b461">
  <xsd:schema xmlns:xsd="http://www.w3.org/2001/XMLSchema" xmlns:xs="http://www.w3.org/2001/XMLSchema" xmlns:p="http://schemas.microsoft.com/office/2006/metadata/properties" xmlns:ns2="5cb2c607-1eb0-481f-8118-1afcad4fdc3d" xmlns:ns3="ca765706-8c0b-4546-9f84-8b9d7650fa31" targetNamespace="http://schemas.microsoft.com/office/2006/metadata/properties" ma:root="true" ma:fieldsID="26bfe9b89c7fadc43963c39ae7fa9242" ns2:_="" ns3:_="">
    <xsd:import namespace="5cb2c607-1eb0-481f-8118-1afcad4fdc3d"/>
    <xsd:import namespace="ca765706-8c0b-4546-9f84-8b9d7650fa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DateTime"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DeadlineNotes" minOccurs="0"/>
                <xsd:element ref="ns2:MediaServiceSearchProperties" minOccurs="0"/>
                <xsd:element ref="ns2:Expiry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2c607-1eb0-481f-8118-1afcad4fd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DateTime" ma:index="21" nillable="true" ma:displayName="Reference Notes" ma:format="Dropdown" ma:internalName="DateTim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78b9858-0b1e-4007-8c5f-15e3ac32eb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DeadlineNotes" ma:index="29" nillable="true" ma:displayName="Deadline Notes" ma:format="Dropdown" ma:internalName="DeadlineNotes">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ExpiryDate" ma:index="31" nillable="true" ma:displayName="Expiry Date" ma:format="DateTime" ma:internalName="Expiry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765706-8c0b-4546-9f84-8b9d7650fa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53c429-e630-4828-80cb-4376685cc596}" ma:internalName="TaxCatchAll" ma:showField="CatchAllData" ma:web="ca765706-8c0b-4546-9f84-8b9d7650fa31">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Time xmlns="5cb2c607-1eb0-481f-8118-1afcad4fdc3d" xsi:nil="true"/>
    <TaxCatchAll xmlns="ca765706-8c0b-4546-9f84-8b9d7650fa31" xsi:nil="true"/>
    <lcf76f155ced4ddcb4097134ff3c332f xmlns="5cb2c607-1eb0-481f-8118-1afcad4fdc3d">
      <Terms xmlns="http://schemas.microsoft.com/office/infopath/2007/PartnerControls"/>
    </lcf76f155ced4ddcb4097134ff3c332f>
    <SharedWithUsers xmlns="ca765706-8c0b-4546-9f84-8b9d7650fa31">
      <UserInfo>
        <DisplayName>Kortney Mihalak</DisplayName>
        <AccountId>215</AccountId>
        <AccountType/>
      </UserInfo>
      <UserInfo>
        <DisplayName>Crystal Ranger</DisplayName>
        <AccountId>144</AccountId>
        <AccountType/>
      </UserInfo>
    </SharedWithUsers>
    <ExpiryDate xmlns="5cb2c607-1eb0-481f-8118-1afcad4fdc3d" xsi:nil="true"/>
    <DeadlineNotes xmlns="5cb2c607-1eb0-481f-8118-1afcad4fdc3d" xsi:nil="true"/>
    <_dlc_DocId xmlns="ca765706-8c0b-4546-9f84-8b9d7650fa31">UMPQUAHLH-2040095995-45280</_dlc_DocId>
    <_dlc_DocIdUrl xmlns="ca765706-8c0b-4546-9f84-8b9d7650fa31">
      <Url>https://umpquahealth.sharepoint.com/sites/HealthPlanOperations/_layouts/15/DocIdRedir.aspx?ID=UMPQUAHLH-2040095995-45280</Url>
      <Description>UMPQUAHLH-2040095995-45280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61AB0C-D2E9-4EFA-9029-ED27D9191977}"/>
</file>

<file path=customXml/itemProps2.xml><?xml version="1.0" encoding="utf-8"?>
<ds:datastoreItem xmlns:ds="http://schemas.openxmlformats.org/officeDocument/2006/customXml" ds:itemID="{43E38C12-C07C-4345-9C3F-6C880BD49F94}">
  <ds:schemaRefs>
    <ds:schemaRef ds:uri="http://schemas.microsoft.com/office/2006/metadata/properties"/>
    <ds:schemaRef ds:uri="http://schemas.microsoft.com/office/infopath/2007/PartnerControls"/>
    <ds:schemaRef ds:uri="5cb2c607-1eb0-481f-8118-1afcad4fdc3d"/>
    <ds:schemaRef ds:uri="ca765706-8c0b-4546-9f84-8b9d7650fa31"/>
  </ds:schemaRefs>
</ds:datastoreItem>
</file>

<file path=customXml/itemProps3.xml><?xml version="1.0" encoding="utf-8"?>
<ds:datastoreItem xmlns:ds="http://schemas.openxmlformats.org/officeDocument/2006/customXml" ds:itemID="{742F30D7-18E9-4F31-837F-0B14AB501A53}">
  <ds:schemaRefs>
    <ds:schemaRef ds:uri="http://schemas.microsoft.com/sharepoint/v3/contenttype/forms"/>
  </ds:schemaRefs>
</ds:datastoreItem>
</file>

<file path=customXml/itemProps4.xml><?xml version="1.0" encoding="utf-8"?>
<ds:datastoreItem xmlns:ds="http://schemas.openxmlformats.org/officeDocument/2006/customXml" ds:itemID="{7472AD58-BF12-4959-AAA1-89A02A6E2268}">
  <ds:schemaRefs>
    <ds:schemaRef ds:uri="http://schemas.openxmlformats.org/officeDocument/2006/bibliography"/>
  </ds:schemaRefs>
</ds:datastoreItem>
</file>

<file path=customXml/itemProps5.xml><?xml version="1.0" encoding="utf-8"?>
<ds:datastoreItem xmlns:ds="http://schemas.openxmlformats.org/officeDocument/2006/customXml" ds:itemID="{084E86D9-2BFB-4FA1-8A3C-6E71C8C3F7DD}"/>
</file>

<file path=docProps/app.xml><?xml version="1.0" encoding="utf-8"?>
<Properties xmlns="http://schemas.openxmlformats.org/officeDocument/2006/extended-properties" xmlns:vt="http://schemas.openxmlformats.org/officeDocument/2006/docPropsVTypes">
  <Template>Normal.dotm</Template>
  <TotalTime>230</TotalTime>
  <Pages>26</Pages>
  <Words>6863</Words>
  <Characters>39125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Birch</dc:creator>
  <cp:keywords/>
  <dc:description/>
  <cp:lastModifiedBy>Lindsey Birch</cp:lastModifiedBy>
  <cp:revision>8</cp:revision>
  <cp:lastPrinted>2021-05-29T01:09:00Z</cp:lastPrinted>
  <dcterms:created xsi:type="dcterms:W3CDTF">2023-03-11T21:10:00Z</dcterms:created>
  <dcterms:modified xsi:type="dcterms:W3CDTF">2023-04-25T03:19:00Z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0x010100BF617FBC13A774468D6CBBA5512FC594</vt:lpwstr>
  </property>
  <property fmtid="{D5CDD505-2E9C-101B-9397-08002B2CF9AE}" pid="3" name="MediaServiceImageTags">
    <vt:lpwstr/>
  </property>
  <property fmtid="{D5CDD505-2E9C-101B-9397-08002B2CF9AE}" pid="4" name="_dlc_DocIdItemGuid">
    <vt:lpwstr>366e6c7c-63ee-4c6e-aa98-488131867278</vt:lpwstr>
  </property>
</Properties>
</file>